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AE6F" w14:textId="5479BA1A" w:rsidR="00736857" w:rsidRDefault="00736857" w:rsidP="00736857">
      <w:r w:rsidRPr="00736857">
        <w:t xml:space="preserve">In summary, I believe the draft GPS-HUD is pretty good - I support the direction of this Statement. </w:t>
      </w:r>
    </w:p>
    <w:p w14:paraId="5CE56943" w14:textId="77777777" w:rsidR="00736857" w:rsidRPr="00736857" w:rsidRDefault="00736857" w:rsidP="00736857"/>
    <w:p w14:paraId="2C0AC652" w14:textId="680405CE" w:rsidR="00736857" w:rsidRDefault="00736857" w:rsidP="00736857">
      <w:r w:rsidRPr="00736857">
        <w:t>It's particularly good to see things like re-establishing housing’s primary role as a home rather than a financial asset, and a focus on wellbeing.</w:t>
      </w:r>
    </w:p>
    <w:p w14:paraId="7D5FA133" w14:textId="77777777" w:rsidR="00736857" w:rsidRPr="00736857" w:rsidRDefault="00736857" w:rsidP="00736857"/>
    <w:p w14:paraId="34670424" w14:textId="77777777" w:rsidR="00736857" w:rsidRPr="00736857" w:rsidRDefault="00736857" w:rsidP="00736857">
      <w:r w:rsidRPr="00736857">
        <w:t xml:space="preserve">I wish to see greater emphasis in the following areas: </w:t>
      </w:r>
    </w:p>
    <w:p w14:paraId="6F16B670" w14:textId="77777777" w:rsidR="00736857" w:rsidRPr="00736857" w:rsidRDefault="00736857" w:rsidP="00736857">
      <w:r w:rsidRPr="00736857">
        <w:rPr>
          <w:b/>
          <w:bCs/>
        </w:rPr>
        <w:t xml:space="preserve">More and better comprehensive, integrated planning: </w:t>
      </w:r>
    </w:p>
    <w:p w14:paraId="5561CCF7" w14:textId="77777777" w:rsidR="00736857" w:rsidRPr="00736857" w:rsidRDefault="00736857" w:rsidP="00736857">
      <w:pPr>
        <w:numPr>
          <w:ilvl w:val="0"/>
          <w:numId w:val="1"/>
        </w:numPr>
      </w:pPr>
      <w:r w:rsidRPr="00736857">
        <w:t>More direct investment and requirements to do comprehensive, coordinated planning that prioritises providing affordable housing provision within compact, walkable neighbourhoods</w:t>
      </w:r>
    </w:p>
    <w:p w14:paraId="2400F753" w14:textId="77777777" w:rsidR="00736857" w:rsidRPr="00736857" w:rsidRDefault="00736857" w:rsidP="00736857">
      <w:pPr>
        <w:numPr>
          <w:ilvl w:val="0"/>
          <w:numId w:val="1"/>
        </w:numPr>
      </w:pPr>
      <w:r w:rsidRPr="00736857">
        <w:t xml:space="preserve">More enablement of comprehensive developments that achieve these outcomes </w:t>
      </w:r>
    </w:p>
    <w:p w14:paraId="541CEB97" w14:textId="77777777" w:rsidR="00736857" w:rsidRPr="00736857" w:rsidRDefault="00736857" w:rsidP="00736857">
      <w:pPr>
        <w:numPr>
          <w:ilvl w:val="0"/>
          <w:numId w:val="1"/>
        </w:numPr>
      </w:pPr>
      <w:r w:rsidRPr="00736857">
        <w:t xml:space="preserve">Requiring this to be done hand in glove with infrastructure upgrades and infrastructure development </w:t>
      </w:r>
    </w:p>
    <w:p w14:paraId="7486E1C9" w14:textId="58B81AE9" w:rsidR="00736857" w:rsidRDefault="00736857" w:rsidP="00736857">
      <w:pPr>
        <w:numPr>
          <w:ilvl w:val="0"/>
          <w:numId w:val="1"/>
        </w:numPr>
      </w:pPr>
      <w:r w:rsidRPr="00736857">
        <w:t xml:space="preserve">Provision of meaningful green infrastructure (including water-sensitive infrastructure), biodiversity infrastructure, and public realm provision should result in enabling / fast tracking </w:t>
      </w:r>
    </w:p>
    <w:p w14:paraId="29ED4060" w14:textId="77777777" w:rsidR="00736857" w:rsidRPr="00736857" w:rsidRDefault="00736857" w:rsidP="00736857">
      <w:pPr>
        <w:ind w:left="720"/>
      </w:pPr>
    </w:p>
    <w:p w14:paraId="7590C55E" w14:textId="77777777" w:rsidR="00736857" w:rsidRPr="00736857" w:rsidRDefault="00736857" w:rsidP="00736857">
      <w:r w:rsidRPr="00736857">
        <w:rPr>
          <w:b/>
          <w:bCs/>
        </w:rPr>
        <w:t>Boost provision of a greater range and quality of medium density housing options.</w:t>
      </w:r>
    </w:p>
    <w:p w14:paraId="4DF08FF9" w14:textId="77777777" w:rsidR="00736857" w:rsidRPr="00736857" w:rsidRDefault="00736857" w:rsidP="00736857">
      <w:pPr>
        <w:numPr>
          <w:ilvl w:val="0"/>
          <w:numId w:val="2"/>
        </w:numPr>
      </w:pPr>
      <w:r w:rsidRPr="00736857">
        <w:t xml:space="preserve">NZ is missing too many medium density housing options. </w:t>
      </w:r>
    </w:p>
    <w:p w14:paraId="20D021CB" w14:textId="77777777" w:rsidR="00736857" w:rsidRPr="00736857" w:rsidRDefault="00736857" w:rsidP="00736857">
      <w:pPr>
        <w:numPr>
          <w:ilvl w:val="0"/>
          <w:numId w:val="2"/>
        </w:numPr>
      </w:pPr>
      <w:r w:rsidRPr="00736857">
        <w:t xml:space="preserve">The development of these should be supported and enabled as a matter of urgency, including enabling of comprehensive developments, to deliver </w:t>
      </w:r>
      <w:r w:rsidRPr="00736857">
        <w:rPr>
          <w:i/>
          <w:iCs/>
        </w:rPr>
        <w:t>density done well</w:t>
      </w:r>
      <w:r w:rsidRPr="00736857">
        <w:t xml:space="preserve">: supporting aging in place, supporting social cohesion, and supporting local spending. </w:t>
      </w:r>
    </w:p>
    <w:p w14:paraId="6BAD3685" w14:textId="0DCB73A7" w:rsidR="00736857" w:rsidRDefault="00736857" w:rsidP="00736857">
      <w:pPr>
        <w:numPr>
          <w:ilvl w:val="0"/>
          <w:numId w:val="2"/>
        </w:numPr>
      </w:pPr>
      <w:r w:rsidRPr="00736857">
        <w:t xml:space="preserve">Priority should be for medium density intensification in the walkable catchments to amenities and public transport nodes. </w:t>
      </w:r>
    </w:p>
    <w:p w14:paraId="512079CD" w14:textId="77777777" w:rsidR="00736857" w:rsidRPr="00736857" w:rsidRDefault="00736857" w:rsidP="00736857">
      <w:pPr>
        <w:ind w:left="720"/>
      </w:pPr>
    </w:p>
    <w:p w14:paraId="6F117AFC" w14:textId="77777777" w:rsidR="00736857" w:rsidRPr="00736857" w:rsidRDefault="00736857" w:rsidP="00736857">
      <w:r w:rsidRPr="00736857">
        <w:rPr>
          <w:b/>
          <w:bCs/>
        </w:rPr>
        <w:t xml:space="preserve">Faster better </w:t>
      </w:r>
      <w:proofErr w:type="spellStart"/>
      <w:r w:rsidRPr="00736857">
        <w:rPr>
          <w:b/>
          <w:bCs/>
        </w:rPr>
        <w:t>retrofittting</w:t>
      </w:r>
      <w:proofErr w:type="spellEnd"/>
      <w:r w:rsidRPr="00736857">
        <w:rPr>
          <w:b/>
          <w:bCs/>
        </w:rPr>
        <w:t xml:space="preserve"> of housing stock:</w:t>
      </w:r>
    </w:p>
    <w:p w14:paraId="0CA7FA54" w14:textId="77777777" w:rsidR="00736857" w:rsidRPr="00736857" w:rsidRDefault="00736857" w:rsidP="00736857">
      <w:pPr>
        <w:numPr>
          <w:ilvl w:val="0"/>
          <w:numId w:val="3"/>
        </w:numPr>
      </w:pPr>
      <w:r w:rsidRPr="00736857">
        <w:t>More investment and requirement into retrofitting existing housing stock</w:t>
      </w:r>
    </w:p>
    <w:p w14:paraId="233B27D5" w14:textId="65ED86C9" w:rsidR="00736857" w:rsidRDefault="00736857" w:rsidP="00736857">
      <w:pPr>
        <w:numPr>
          <w:ilvl w:val="0"/>
          <w:numId w:val="3"/>
        </w:numPr>
      </w:pPr>
      <w:r w:rsidRPr="00736857">
        <w:t>Start with the worst but make sure we lift the floor, achieving respectable levels of energy efficiency and reducing inequities in health and household expenses</w:t>
      </w:r>
    </w:p>
    <w:p w14:paraId="6458BAA3" w14:textId="77777777" w:rsidR="00736857" w:rsidRPr="00736857" w:rsidRDefault="00736857" w:rsidP="00736857">
      <w:pPr>
        <w:ind w:left="720"/>
      </w:pPr>
    </w:p>
    <w:p w14:paraId="2F73DC83" w14:textId="77777777" w:rsidR="00736857" w:rsidRPr="00736857" w:rsidRDefault="00736857" w:rsidP="00736857">
      <w:r w:rsidRPr="00736857">
        <w:rPr>
          <w:b/>
          <w:bCs/>
        </w:rPr>
        <w:t>More use of collaborative, participatory design processes</w:t>
      </w:r>
    </w:p>
    <w:p w14:paraId="0ADF6808" w14:textId="77777777" w:rsidR="00736857" w:rsidRPr="00736857" w:rsidRDefault="00736857" w:rsidP="00736857">
      <w:pPr>
        <w:numPr>
          <w:ilvl w:val="0"/>
          <w:numId w:val="4"/>
        </w:numPr>
      </w:pPr>
      <w:r w:rsidRPr="00736857">
        <w:t xml:space="preserve">More direct support for resilient, sustainable, inclusive and prosperous communities through collaboratively designed housing and urban development solutions – such as cohousing, and </w:t>
      </w:r>
      <w:proofErr w:type="spellStart"/>
      <w:r w:rsidRPr="00736857">
        <w:t>papakāinga</w:t>
      </w:r>
      <w:proofErr w:type="spellEnd"/>
    </w:p>
    <w:p w14:paraId="37A6B799" w14:textId="3AFCF574" w:rsidR="00736857" w:rsidRDefault="00736857" w:rsidP="00736857">
      <w:pPr>
        <w:numPr>
          <w:ilvl w:val="0"/>
          <w:numId w:val="4"/>
        </w:numPr>
      </w:pPr>
      <w:r w:rsidRPr="00736857">
        <w:t>This support - e.g. funding facilitators and providing architecture expertise – should be provided at pace, so communities can get on with it</w:t>
      </w:r>
    </w:p>
    <w:p w14:paraId="15612EBF" w14:textId="77777777" w:rsidR="00736857" w:rsidRPr="00736857" w:rsidRDefault="00736857" w:rsidP="00736857">
      <w:pPr>
        <w:ind w:left="720"/>
      </w:pPr>
    </w:p>
    <w:p w14:paraId="11DE475F" w14:textId="77777777" w:rsidR="00736857" w:rsidRPr="00736857" w:rsidRDefault="00736857" w:rsidP="00736857">
      <w:r w:rsidRPr="00736857">
        <w:rPr>
          <w:b/>
          <w:bCs/>
        </w:rPr>
        <w:t>More investment and enablement of Māori-driven housing and urban solutions</w:t>
      </w:r>
    </w:p>
    <w:p w14:paraId="1764B260" w14:textId="77777777" w:rsidR="00736857" w:rsidRPr="00736857" w:rsidRDefault="00736857" w:rsidP="00736857">
      <w:pPr>
        <w:numPr>
          <w:ilvl w:val="0"/>
          <w:numId w:val="5"/>
        </w:numPr>
      </w:pPr>
      <w:r w:rsidRPr="00736857">
        <w:t xml:space="preserve">Enable, but also resource iwi and Māori self-determination manifested through better housing and urban development solutions </w:t>
      </w:r>
    </w:p>
    <w:p w14:paraId="0D1BBC75" w14:textId="4C4B136D" w:rsidR="00736857" w:rsidRDefault="00736857" w:rsidP="00736857">
      <w:pPr>
        <w:numPr>
          <w:ilvl w:val="0"/>
          <w:numId w:val="5"/>
        </w:numPr>
      </w:pPr>
      <w:r w:rsidRPr="00736857">
        <w:t xml:space="preserve">This should include </w:t>
      </w:r>
      <w:proofErr w:type="spellStart"/>
      <w:r w:rsidRPr="00736857">
        <w:t>papakāinga</w:t>
      </w:r>
      <w:proofErr w:type="spellEnd"/>
      <w:r w:rsidRPr="00736857">
        <w:t xml:space="preserve"> and socially-based tenure options, from small to large scale</w:t>
      </w:r>
    </w:p>
    <w:p w14:paraId="773525B8" w14:textId="77777777" w:rsidR="00736857" w:rsidRPr="00736857" w:rsidRDefault="00736857" w:rsidP="00736857">
      <w:pPr>
        <w:ind w:left="720"/>
      </w:pPr>
    </w:p>
    <w:p w14:paraId="7C199517" w14:textId="77777777" w:rsidR="00736857" w:rsidRPr="00736857" w:rsidRDefault="00736857" w:rsidP="00736857">
      <w:r w:rsidRPr="00736857">
        <w:rPr>
          <w:b/>
          <w:bCs/>
        </w:rPr>
        <w:t>More support for town centre diversification and revitalisation</w:t>
      </w:r>
    </w:p>
    <w:p w14:paraId="7C798338" w14:textId="77777777" w:rsidR="00736857" w:rsidRPr="00736857" w:rsidRDefault="00736857" w:rsidP="00736857">
      <w:pPr>
        <w:numPr>
          <w:ilvl w:val="0"/>
          <w:numId w:val="6"/>
        </w:numPr>
      </w:pPr>
      <w:r w:rsidRPr="00736857">
        <w:t>Enable community owned businesses and cooperatives to invest in town centres, such as the "right to buy" neglected properties (and associated support)</w:t>
      </w:r>
    </w:p>
    <w:p w14:paraId="5CAC02E3" w14:textId="4CF4FDFA" w:rsidR="00736857" w:rsidRDefault="00736857" w:rsidP="00736857">
      <w:pPr>
        <w:numPr>
          <w:ilvl w:val="0"/>
          <w:numId w:val="6"/>
        </w:numPr>
      </w:pPr>
      <w:r w:rsidRPr="00736857">
        <w:lastRenderedPageBreak/>
        <w:t xml:space="preserve">Enable easier diversification of </w:t>
      </w:r>
      <w:proofErr w:type="spellStart"/>
      <w:r w:rsidRPr="00736857">
        <w:t>landuse</w:t>
      </w:r>
      <w:proofErr w:type="spellEnd"/>
      <w:r w:rsidRPr="00736857">
        <w:t>, to enable clusters of people-focussed amenities and service functions in currently homogeneous residential-only areas</w:t>
      </w:r>
    </w:p>
    <w:p w14:paraId="6DC03CA7" w14:textId="77777777" w:rsidR="00736857" w:rsidRPr="00736857" w:rsidRDefault="00736857" w:rsidP="00736857">
      <w:pPr>
        <w:ind w:left="720"/>
      </w:pPr>
    </w:p>
    <w:p w14:paraId="4DF7AEEF" w14:textId="77777777" w:rsidR="00736857" w:rsidRPr="00736857" w:rsidRDefault="00736857" w:rsidP="00736857">
      <w:r w:rsidRPr="00736857">
        <w:rPr>
          <w:b/>
          <w:bCs/>
        </w:rPr>
        <w:t xml:space="preserve">Diversify tenure options beyond outright ownership </w:t>
      </w:r>
    </w:p>
    <w:p w14:paraId="31FED2F4" w14:textId="02E3D4E6" w:rsidR="00736857" w:rsidRDefault="00736857" w:rsidP="00736857">
      <w:pPr>
        <w:numPr>
          <w:ilvl w:val="0"/>
          <w:numId w:val="7"/>
        </w:numPr>
      </w:pPr>
      <w:r w:rsidRPr="00736857">
        <w:t>Things like shared ownership, socially-based tenure, rent to buy, cohousing, leasehold arrangements, community tenure</w:t>
      </w:r>
    </w:p>
    <w:p w14:paraId="796B2357" w14:textId="77777777" w:rsidR="00736857" w:rsidRPr="00736857" w:rsidRDefault="00736857" w:rsidP="00736857">
      <w:pPr>
        <w:ind w:left="720"/>
      </w:pPr>
    </w:p>
    <w:p w14:paraId="17EFA319" w14:textId="77777777" w:rsidR="00736857" w:rsidRPr="00736857" w:rsidRDefault="00736857" w:rsidP="00736857">
      <w:r w:rsidRPr="00736857">
        <w:rPr>
          <w:b/>
          <w:bCs/>
        </w:rPr>
        <w:t xml:space="preserve">Mature the rental system </w:t>
      </w:r>
    </w:p>
    <w:p w14:paraId="5F50C25C" w14:textId="1E37ABC2" w:rsidR="00736857" w:rsidRPr="00736857" w:rsidRDefault="00736857" w:rsidP="00736857">
      <w:pPr>
        <w:numPr>
          <w:ilvl w:val="0"/>
          <w:numId w:val="8"/>
        </w:numPr>
      </w:pPr>
      <w:r w:rsidRPr="00736857">
        <w:t xml:space="preserve">Essentially: do the actions in </w:t>
      </w:r>
      <w:proofErr w:type="spellStart"/>
      <w:r w:rsidRPr="00736857">
        <w:t>Shamubeel</w:t>
      </w:r>
      <w:proofErr w:type="spellEnd"/>
      <w:r w:rsidRPr="00736857">
        <w:t xml:space="preserve"> and Selena </w:t>
      </w:r>
      <w:proofErr w:type="spellStart"/>
      <w:r w:rsidRPr="00736857">
        <w:t>Eaqubs</w:t>
      </w:r>
      <w:proofErr w:type="spellEnd"/>
      <w:r w:rsidRPr="00736857">
        <w:t xml:space="preserve">' </w:t>
      </w:r>
      <w:r w:rsidRPr="00736857">
        <w:rPr>
          <w:i/>
          <w:iCs/>
        </w:rPr>
        <w:t>Generation Rent</w:t>
      </w:r>
    </w:p>
    <w:p w14:paraId="58C4F24A" w14:textId="77777777" w:rsidR="00736857" w:rsidRPr="00736857" w:rsidRDefault="00736857" w:rsidP="00736857">
      <w:pPr>
        <w:ind w:left="720"/>
      </w:pPr>
    </w:p>
    <w:p w14:paraId="383D19D1" w14:textId="77777777" w:rsidR="00736857" w:rsidRPr="00736857" w:rsidRDefault="00736857" w:rsidP="00736857">
      <w:r w:rsidRPr="00736857">
        <w:rPr>
          <w:b/>
          <w:bCs/>
        </w:rPr>
        <w:t xml:space="preserve">Institute a capital gains tax. </w:t>
      </w:r>
    </w:p>
    <w:p w14:paraId="1B142AF7" w14:textId="77777777" w:rsidR="00736857" w:rsidRPr="00736857" w:rsidRDefault="00736857" w:rsidP="00736857">
      <w:pPr>
        <w:numPr>
          <w:ilvl w:val="0"/>
          <w:numId w:val="9"/>
        </w:numPr>
      </w:pPr>
      <w:r w:rsidRPr="00736857">
        <w:t xml:space="preserve">This is a recommendation consistently made by the </w:t>
      </w:r>
      <w:hyperlink r:id="rId5" w:anchor=":~:text=Its%20two%2Dyearly%20review%20of,are%20key%20opposition%20party%20policies." w:history="1">
        <w:r w:rsidRPr="00736857">
          <w:rPr>
            <w:rStyle w:val="Hyperlink"/>
          </w:rPr>
          <w:t>OECD,</w:t>
        </w:r>
      </w:hyperlink>
      <w:r w:rsidRPr="00736857">
        <w:t xml:space="preserve"> our own Tax Working Group, and all other peer nations. it's a vital part of the puzzle. </w:t>
      </w:r>
    </w:p>
    <w:p w14:paraId="13DBD989" w14:textId="77777777" w:rsidR="00F20503" w:rsidRDefault="00736857"/>
    <w:sectPr w:rsidR="00F20503" w:rsidSect="00383D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C22C6"/>
    <w:multiLevelType w:val="multilevel"/>
    <w:tmpl w:val="75C2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A54E6"/>
    <w:multiLevelType w:val="multilevel"/>
    <w:tmpl w:val="837C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75859"/>
    <w:multiLevelType w:val="multilevel"/>
    <w:tmpl w:val="0904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E2B70"/>
    <w:multiLevelType w:val="multilevel"/>
    <w:tmpl w:val="46EA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944685"/>
    <w:multiLevelType w:val="multilevel"/>
    <w:tmpl w:val="3B2E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C104F8"/>
    <w:multiLevelType w:val="multilevel"/>
    <w:tmpl w:val="AA90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0A6ABB"/>
    <w:multiLevelType w:val="multilevel"/>
    <w:tmpl w:val="A65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64574"/>
    <w:multiLevelType w:val="multilevel"/>
    <w:tmpl w:val="64DE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BB145E"/>
    <w:multiLevelType w:val="multilevel"/>
    <w:tmpl w:val="F7F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57"/>
    <w:rsid w:val="00383D91"/>
    <w:rsid w:val="00736857"/>
    <w:rsid w:val="00A924AB"/>
    <w:rsid w:val="00B8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068A8"/>
  <w15:chartTrackingRefBased/>
  <w15:docId w15:val="{2208ACF5-591A-9F40-AE79-7C7981A3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br.co.nz/article/oecd-urges-capital-gains-tax-deposit-insurance-and-regulatory-certainty-bd-141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Cawthorn</dc:creator>
  <cp:keywords/>
  <dc:description/>
  <cp:lastModifiedBy>Isabella Cawthorn</cp:lastModifiedBy>
  <cp:revision>1</cp:revision>
  <dcterms:created xsi:type="dcterms:W3CDTF">2021-07-29T04:45:00Z</dcterms:created>
  <dcterms:modified xsi:type="dcterms:W3CDTF">2021-07-29T04:46:00Z</dcterms:modified>
</cp:coreProperties>
</file>