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0883C" w14:textId="0EE32AEE" w:rsidR="0050020B" w:rsidRPr="00A80E0A" w:rsidRDefault="00A90294" w:rsidP="00802600">
      <w:pPr>
        <w:ind w:left="5148" w:hanging="2268"/>
        <w:jc w:val="left"/>
        <w:rPr>
          <w:noProof/>
        </w:rPr>
      </w:pPr>
      <w:r w:rsidRPr="00616A87">
        <w:rPr>
          <w:b/>
          <w:noProof/>
        </w:rPr>
        <w:t>UNDER</w:t>
      </w:r>
      <w:r w:rsidR="0050020B" w:rsidRPr="00616A87">
        <w:rPr>
          <w:noProof/>
        </w:rPr>
        <w:tab/>
      </w:r>
      <w:r w:rsidR="0050020B" w:rsidRPr="00A80E0A">
        <w:rPr>
          <w:noProof/>
        </w:rPr>
        <w:t>the Resource Managemnet Act 1991 (</w:t>
      </w:r>
      <w:r w:rsidR="009B2EEF" w:rsidRPr="00A80E0A">
        <w:rPr>
          <w:noProof/>
        </w:rPr>
        <w:t>“</w:t>
      </w:r>
      <w:r w:rsidR="009B2EEF" w:rsidRPr="00A80E0A">
        <w:rPr>
          <w:b/>
          <w:noProof/>
        </w:rPr>
        <w:t>the Act</w:t>
      </w:r>
      <w:r w:rsidR="009B2EEF" w:rsidRPr="00A80E0A">
        <w:rPr>
          <w:noProof/>
        </w:rPr>
        <w:t>”)</w:t>
      </w:r>
    </w:p>
    <w:p w14:paraId="54A716B9" w14:textId="77777777" w:rsidR="0050020B" w:rsidRPr="00A80E0A" w:rsidRDefault="0050020B" w:rsidP="00802600">
      <w:pPr>
        <w:ind w:left="2880"/>
        <w:jc w:val="left"/>
        <w:rPr>
          <w:noProof/>
        </w:rPr>
      </w:pPr>
    </w:p>
    <w:p w14:paraId="291FA880" w14:textId="77777777" w:rsidR="0050020B" w:rsidRPr="00A80E0A" w:rsidRDefault="0050020B" w:rsidP="00802600">
      <w:pPr>
        <w:ind w:left="2880"/>
        <w:jc w:val="left"/>
        <w:rPr>
          <w:b/>
          <w:noProof/>
        </w:rPr>
      </w:pPr>
      <w:r w:rsidRPr="00A80E0A">
        <w:rPr>
          <w:b/>
          <w:noProof/>
        </w:rPr>
        <w:t>AND</w:t>
      </w:r>
    </w:p>
    <w:p w14:paraId="3E90028D" w14:textId="77777777" w:rsidR="0050020B" w:rsidRPr="00A80E0A" w:rsidRDefault="0050020B" w:rsidP="00802600">
      <w:pPr>
        <w:ind w:left="2880"/>
        <w:jc w:val="left"/>
        <w:rPr>
          <w:noProof/>
        </w:rPr>
      </w:pPr>
    </w:p>
    <w:p w14:paraId="35BEC313" w14:textId="35BB4C93" w:rsidR="0050020B" w:rsidRPr="00A80E0A" w:rsidRDefault="0050020B" w:rsidP="00802600">
      <w:pPr>
        <w:ind w:left="5148" w:hanging="2268"/>
        <w:jc w:val="left"/>
        <w:rPr>
          <w:noProof/>
        </w:rPr>
      </w:pPr>
      <w:r w:rsidRPr="00A80E0A">
        <w:rPr>
          <w:b/>
          <w:noProof/>
        </w:rPr>
        <w:t>IN THE MATTER</w:t>
      </w:r>
      <w:r w:rsidRPr="00A80E0A">
        <w:rPr>
          <w:noProof/>
        </w:rPr>
        <w:tab/>
        <w:t>of a submission purs</w:t>
      </w:r>
      <w:r w:rsidR="00BF6103" w:rsidRPr="00A80E0A">
        <w:rPr>
          <w:noProof/>
        </w:rPr>
        <w:t xml:space="preserve">uant to Clause 6 of Schedule 1 of </w:t>
      </w:r>
      <w:r w:rsidRPr="00A80E0A">
        <w:rPr>
          <w:noProof/>
        </w:rPr>
        <w:t xml:space="preserve">the Act in respect of </w:t>
      </w:r>
      <w:r w:rsidR="00E86173" w:rsidRPr="00A80E0A">
        <w:rPr>
          <w:noProof/>
        </w:rPr>
        <w:t xml:space="preserve">the </w:t>
      </w:r>
      <w:r w:rsidR="008F36CA" w:rsidRPr="00A80E0A">
        <w:rPr>
          <w:b/>
          <w:noProof/>
        </w:rPr>
        <w:t xml:space="preserve">WELLINGTON CITY </w:t>
      </w:r>
      <w:r w:rsidR="008F36CA">
        <w:rPr>
          <w:b/>
          <w:noProof/>
        </w:rPr>
        <w:t xml:space="preserve">COUNCIL </w:t>
      </w:r>
      <w:r w:rsidR="00A90294" w:rsidRPr="00A80E0A">
        <w:rPr>
          <w:b/>
          <w:bCs/>
          <w:noProof/>
        </w:rPr>
        <w:t>P</w:t>
      </w:r>
      <w:r w:rsidR="00E86173" w:rsidRPr="00A80E0A">
        <w:rPr>
          <w:b/>
          <w:bCs/>
          <w:noProof/>
        </w:rPr>
        <w:t>ROPOSED</w:t>
      </w:r>
      <w:r w:rsidR="00A90294" w:rsidRPr="00A80E0A">
        <w:rPr>
          <w:b/>
          <w:bCs/>
          <w:noProof/>
        </w:rPr>
        <w:t xml:space="preserve"> </w:t>
      </w:r>
      <w:r w:rsidR="00E86173" w:rsidRPr="00A80E0A">
        <w:rPr>
          <w:b/>
          <w:bCs/>
          <w:noProof/>
        </w:rPr>
        <w:t xml:space="preserve">DISTRICT </w:t>
      </w:r>
      <w:r w:rsidR="00A90294" w:rsidRPr="00A80E0A">
        <w:rPr>
          <w:b/>
          <w:bCs/>
          <w:noProof/>
        </w:rPr>
        <w:t>PLAN</w:t>
      </w:r>
      <w:r w:rsidR="00C325D6">
        <w:rPr>
          <w:b/>
          <w:bCs/>
          <w:noProof/>
        </w:rPr>
        <w:t xml:space="preserve"> 2022</w:t>
      </w:r>
    </w:p>
    <w:p w14:paraId="724E804C" w14:textId="77777777" w:rsidR="008E201C" w:rsidRPr="00AB43D3" w:rsidRDefault="008E201C" w:rsidP="00802600">
      <w:pPr>
        <w:ind w:left="2880"/>
        <w:jc w:val="left"/>
        <w:rPr>
          <w:highlight w:val="yellow"/>
        </w:rPr>
      </w:pPr>
    </w:p>
    <w:p w14:paraId="489CDFFD" w14:textId="77777777" w:rsidR="008E201C" w:rsidRPr="00AB43D3" w:rsidRDefault="008E201C">
      <w:pPr>
        <w:jc w:val="left"/>
        <w:rPr>
          <w:highlight w:val="yellow"/>
        </w:rPr>
      </w:pPr>
      <w:bookmarkStart w:id="0" w:name="FirstPgEntry"/>
      <w:bookmarkEnd w:id="0"/>
    </w:p>
    <w:p w14:paraId="4549DAD4" w14:textId="77777777" w:rsidR="0017130B" w:rsidRPr="00AB43D3" w:rsidRDefault="0017130B" w:rsidP="0050020B">
      <w:pPr>
        <w:jc w:val="left"/>
        <w:rPr>
          <w:highlight w:val="yellow"/>
        </w:rPr>
      </w:pPr>
    </w:p>
    <w:p w14:paraId="3D5CE2C3" w14:textId="77777777" w:rsidR="0017130B" w:rsidRPr="00AB43D3" w:rsidRDefault="0017130B" w:rsidP="0050020B">
      <w:pPr>
        <w:jc w:val="left"/>
        <w:rPr>
          <w:highlight w:val="yellow"/>
        </w:rPr>
      </w:pPr>
    </w:p>
    <w:p w14:paraId="2F743453" w14:textId="77777777" w:rsidR="008E201C" w:rsidRPr="00AB43D3" w:rsidRDefault="008E201C" w:rsidP="0050020B">
      <w:pPr>
        <w:jc w:val="left"/>
        <w:rPr>
          <w:highlight w:val="yellow"/>
        </w:rPr>
      </w:pPr>
    </w:p>
    <w:p w14:paraId="180813B2" w14:textId="77777777" w:rsidR="008E201C" w:rsidRPr="00A80E0A" w:rsidRDefault="008E201C" w:rsidP="0050020B">
      <w:pPr>
        <w:jc w:val="left"/>
      </w:pPr>
    </w:p>
    <w:p w14:paraId="08E84858" w14:textId="47ADDA37" w:rsidR="008E201C" w:rsidRPr="00A80E0A" w:rsidRDefault="0050020B" w:rsidP="0050020B">
      <w:pPr>
        <w:jc w:val="center"/>
      </w:pPr>
      <w:r w:rsidRPr="00A80E0A">
        <w:rPr>
          <w:b/>
        </w:rPr>
        <w:t xml:space="preserve">SUBMISSION ON </w:t>
      </w:r>
      <w:r w:rsidR="00A80E0A" w:rsidRPr="00A80E0A">
        <w:rPr>
          <w:b/>
        </w:rPr>
        <w:t xml:space="preserve">THE </w:t>
      </w:r>
      <w:r w:rsidR="008F36CA">
        <w:rPr>
          <w:b/>
        </w:rPr>
        <w:t xml:space="preserve">WELLINGTON CITY COUNCIL </w:t>
      </w:r>
      <w:r w:rsidR="008F36CA">
        <w:rPr>
          <w:b/>
        </w:rPr>
        <w:br/>
      </w:r>
      <w:r w:rsidR="00A80E0A" w:rsidRPr="00A80E0A">
        <w:rPr>
          <w:b/>
        </w:rPr>
        <w:t>PROPOSED DISTRICT PLAN</w:t>
      </w:r>
      <w:r w:rsidR="0039335B">
        <w:rPr>
          <w:b/>
        </w:rPr>
        <w:t xml:space="preserve"> 2022</w:t>
      </w:r>
    </w:p>
    <w:p w14:paraId="522BFFAE" w14:textId="77777777" w:rsidR="008E201C" w:rsidRPr="00A80E0A" w:rsidRDefault="008E201C" w:rsidP="0050020B">
      <w:pPr>
        <w:jc w:val="left"/>
      </w:pPr>
    </w:p>
    <w:p w14:paraId="7CFC9A63" w14:textId="77777777" w:rsidR="008E201C" w:rsidRPr="00A80E0A" w:rsidRDefault="008E201C">
      <w:pPr>
        <w:jc w:val="left"/>
      </w:pPr>
      <w:bookmarkStart w:id="1" w:name="CaseInfo"/>
      <w:bookmarkEnd w:id="1"/>
    </w:p>
    <w:p w14:paraId="01BBC28D" w14:textId="77777777" w:rsidR="00EE74BF" w:rsidRPr="00A80E0A" w:rsidRDefault="00EE74BF">
      <w:pPr>
        <w:jc w:val="left"/>
      </w:pPr>
    </w:p>
    <w:p w14:paraId="295CBCA4" w14:textId="15B5B21E" w:rsidR="009D1AD1" w:rsidRDefault="0050020B" w:rsidP="009D1AD1">
      <w:r w:rsidRPr="00A80E0A">
        <w:rPr>
          <w:b/>
        </w:rPr>
        <w:t>TO</w:t>
      </w:r>
      <w:r w:rsidR="00710173" w:rsidRPr="00A80E0A">
        <w:rPr>
          <w:b/>
        </w:rPr>
        <w:t>:</w:t>
      </w:r>
      <w:r w:rsidR="00710173" w:rsidRPr="00A80E0A">
        <w:rPr>
          <w:b/>
        </w:rPr>
        <w:tab/>
      </w:r>
      <w:r w:rsidR="009D1AD1">
        <w:t>District Planning Team, Level 16</w:t>
      </w:r>
    </w:p>
    <w:p w14:paraId="65BD9BBE" w14:textId="77777777" w:rsidR="009D1AD1" w:rsidRDefault="009D1AD1" w:rsidP="009D1AD1">
      <w:pPr>
        <w:ind w:firstLine="720"/>
      </w:pPr>
      <w:r>
        <w:t>Wellington City Council</w:t>
      </w:r>
    </w:p>
    <w:p w14:paraId="360CC2C2" w14:textId="77777777" w:rsidR="009D1AD1" w:rsidRDefault="009D1AD1" w:rsidP="009D1AD1">
      <w:pPr>
        <w:ind w:firstLine="720"/>
      </w:pPr>
      <w:r>
        <w:t>113 The Terrace</w:t>
      </w:r>
    </w:p>
    <w:p w14:paraId="0A028460" w14:textId="767ED687" w:rsidR="007F0292" w:rsidRDefault="009D1AD1" w:rsidP="009D1AD1">
      <w:pPr>
        <w:ind w:firstLine="720"/>
      </w:pPr>
      <w:r>
        <w:t>Wellington Central 6011</w:t>
      </w:r>
    </w:p>
    <w:p w14:paraId="7AF8EAA2" w14:textId="77777777" w:rsidR="009D1AD1" w:rsidRPr="009D1AD1" w:rsidRDefault="009D1AD1" w:rsidP="009D1AD1">
      <w:pPr>
        <w:ind w:firstLine="720"/>
      </w:pPr>
    </w:p>
    <w:p w14:paraId="2E076055" w14:textId="76362460" w:rsidR="007F0292" w:rsidRPr="009D1AD1" w:rsidRDefault="007F0292" w:rsidP="00A90294">
      <w:pPr>
        <w:ind w:firstLine="720"/>
      </w:pPr>
      <w:r w:rsidRPr="009D1AD1">
        <w:t xml:space="preserve">Email: </w:t>
      </w:r>
      <w:r w:rsidR="009D1AD1" w:rsidRPr="009D1AD1">
        <w:t>PDPsubmissions@wcc.govt.nz</w:t>
      </w:r>
    </w:p>
    <w:p w14:paraId="5FE93B43" w14:textId="77777777" w:rsidR="00710173" w:rsidRPr="00AB43D3" w:rsidRDefault="00710173" w:rsidP="00710173">
      <w:pPr>
        <w:rPr>
          <w:highlight w:val="yellow"/>
        </w:rPr>
      </w:pPr>
    </w:p>
    <w:p w14:paraId="1193671D" w14:textId="21BD5CAD" w:rsidR="00421BD5" w:rsidRPr="009D1AD1" w:rsidRDefault="00FE2030" w:rsidP="00DC2D68">
      <w:pPr>
        <w:ind w:firstLine="720"/>
      </w:pPr>
      <w:r w:rsidRPr="009D1AD1">
        <w:t>Name of submitter:</w:t>
      </w:r>
      <w:r w:rsidR="00DC2D68" w:rsidRPr="009D1AD1">
        <w:t xml:space="preserve"> </w:t>
      </w:r>
      <w:r w:rsidR="009D1AD1" w:rsidRPr="009D1AD1">
        <w:t xml:space="preserve">Generation Zero </w:t>
      </w:r>
      <w:r w:rsidR="00222C40">
        <w:t>Incorporated</w:t>
      </w:r>
    </w:p>
    <w:p w14:paraId="5EE77AFB" w14:textId="77777777" w:rsidR="00A60429" w:rsidRPr="00AB43D3" w:rsidRDefault="00A60429" w:rsidP="00A60429">
      <w:pPr>
        <w:pStyle w:val="Heading1"/>
        <w:numPr>
          <w:ilvl w:val="0"/>
          <w:numId w:val="0"/>
        </w:numPr>
        <w:ind w:left="720"/>
        <w:rPr>
          <w:b w:val="0"/>
          <w:highlight w:val="yellow"/>
        </w:rPr>
      </w:pPr>
    </w:p>
    <w:p w14:paraId="7165D8E8" w14:textId="77777777" w:rsidR="00B81029" w:rsidRPr="00D95566" w:rsidRDefault="00C25234" w:rsidP="00A60429">
      <w:pPr>
        <w:pStyle w:val="Heading1"/>
        <w:rPr>
          <w:b w:val="0"/>
        </w:rPr>
      </w:pPr>
      <w:r w:rsidRPr="00D95566">
        <w:t>INTRODUCTION</w:t>
      </w:r>
    </w:p>
    <w:p w14:paraId="6B3F216F" w14:textId="2812C607" w:rsidR="00A60429" w:rsidRPr="00D95566" w:rsidRDefault="00A60429" w:rsidP="00A60429">
      <w:pPr>
        <w:pStyle w:val="Heading2"/>
      </w:pPr>
      <w:r w:rsidRPr="00D95566">
        <w:t xml:space="preserve">This is a submission on </w:t>
      </w:r>
      <w:r w:rsidR="00D95566" w:rsidRPr="00D95566">
        <w:t xml:space="preserve">the Wellington City </w:t>
      </w:r>
      <w:r w:rsidR="003242E2">
        <w:t xml:space="preserve">Council </w:t>
      </w:r>
      <w:r w:rsidR="002249C7">
        <w:t xml:space="preserve">(“WCC”) </w:t>
      </w:r>
      <w:r w:rsidR="003242E2" w:rsidRPr="00D95566">
        <w:t xml:space="preserve">Proposed </w:t>
      </w:r>
      <w:r w:rsidR="00D95566" w:rsidRPr="00D95566">
        <w:t xml:space="preserve">District </w:t>
      </w:r>
      <w:r w:rsidR="00A90294" w:rsidRPr="00D95566">
        <w:t xml:space="preserve">Plan </w:t>
      </w:r>
      <w:r w:rsidR="00C325D6">
        <w:t xml:space="preserve">2022 </w:t>
      </w:r>
      <w:r w:rsidR="00A17D36" w:rsidRPr="00D95566">
        <w:t>(“</w:t>
      </w:r>
      <w:r w:rsidR="00BE45AA">
        <w:t xml:space="preserve">the </w:t>
      </w:r>
      <w:r w:rsidR="00D95566" w:rsidRPr="00D95566">
        <w:t>PDP</w:t>
      </w:r>
      <w:r w:rsidR="00A17D36" w:rsidRPr="00D95566">
        <w:t>”)</w:t>
      </w:r>
      <w:r w:rsidR="00D97436" w:rsidRPr="00D95566">
        <w:t>.</w:t>
      </w:r>
    </w:p>
    <w:p w14:paraId="62020FC7" w14:textId="1692A3E7" w:rsidR="00A146B1" w:rsidRDefault="00D95566" w:rsidP="00C25836">
      <w:pPr>
        <w:pStyle w:val="Heading2"/>
      </w:pPr>
      <w:r w:rsidRPr="00BE45AA">
        <w:t xml:space="preserve">Generation Zero </w:t>
      </w:r>
      <w:r w:rsidR="00222C40">
        <w:t>Incorporated</w:t>
      </w:r>
      <w:r w:rsidR="007F0292" w:rsidRPr="00BE45AA">
        <w:t xml:space="preserve"> </w:t>
      </w:r>
      <w:r w:rsidR="00A17D36" w:rsidRPr="00BE45AA">
        <w:t>(“</w:t>
      </w:r>
      <w:r w:rsidRPr="00BE45AA">
        <w:t>GZ</w:t>
      </w:r>
      <w:r w:rsidR="00222C40">
        <w:t xml:space="preserve"> Inc</w:t>
      </w:r>
      <w:r w:rsidR="00A17D36" w:rsidRPr="00BE45AA">
        <w:t xml:space="preserve">”) </w:t>
      </w:r>
      <w:r w:rsidR="007F0292" w:rsidRPr="00BE45AA">
        <w:t xml:space="preserve">is </w:t>
      </w:r>
      <w:r w:rsidR="000C3281">
        <w:t xml:space="preserve">a </w:t>
      </w:r>
      <w:r w:rsidR="000C3281" w:rsidRPr="00BE45AA">
        <w:t>not-for-profit</w:t>
      </w:r>
      <w:r w:rsidR="000C3281">
        <w:t xml:space="preserve">, </w:t>
      </w:r>
      <w:r w:rsidR="000C3281" w:rsidRPr="000C3281">
        <w:t>youth-led organisation focused on transitioning society away from its dependency on fossil fuels and combating climate change</w:t>
      </w:r>
      <w:r w:rsidR="000C3281">
        <w:t>.</w:t>
      </w:r>
      <w:r w:rsidR="00A8021C">
        <w:t xml:space="preserve">  GZ</w:t>
      </w:r>
      <w:r w:rsidR="00001885">
        <w:t xml:space="preserve"> </w:t>
      </w:r>
      <w:r w:rsidR="00A8021C">
        <w:t>Inc’s objectives are to:</w:t>
      </w:r>
    </w:p>
    <w:p w14:paraId="6BE2DE12" w14:textId="448A097D" w:rsidR="00A8021C" w:rsidRDefault="00A8021C" w:rsidP="000524B3">
      <w:pPr>
        <w:pStyle w:val="Heading3"/>
      </w:pPr>
      <w:r>
        <w:t xml:space="preserve">Educate and empower New Zealanders about issues that threaten New Zealand’s future well-being, with a particular focus on climate </w:t>
      </w:r>
      <w:proofErr w:type="gramStart"/>
      <w:r>
        <w:t>change;</w:t>
      </w:r>
      <w:proofErr w:type="gramEnd"/>
    </w:p>
    <w:p w14:paraId="796E452F" w14:textId="744564BD" w:rsidR="00A8021C" w:rsidRDefault="00A8021C" w:rsidP="00A8021C">
      <w:pPr>
        <w:pStyle w:val="Heading3"/>
      </w:pPr>
      <w:r>
        <w:t xml:space="preserve">Promote a zero carbon New Zealand by </w:t>
      </w:r>
      <w:proofErr w:type="gramStart"/>
      <w:r>
        <w:t>2050;</w:t>
      </w:r>
      <w:proofErr w:type="gramEnd"/>
      <w:r w:rsidR="00BD2B13">
        <w:t xml:space="preserve"> and</w:t>
      </w:r>
    </w:p>
    <w:p w14:paraId="1661049A" w14:textId="6D710EC9" w:rsidR="00A8021C" w:rsidRDefault="00A8021C" w:rsidP="00A8021C">
      <w:pPr>
        <w:pStyle w:val="Heading3"/>
      </w:pPr>
      <w:r>
        <w:t>Provide a voice for New Zealanders on climate change</w:t>
      </w:r>
      <w:r w:rsidR="00BD2B13">
        <w:t>.</w:t>
      </w:r>
    </w:p>
    <w:p w14:paraId="4D126F05" w14:textId="77777777" w:rsidR="004D3035" w:rsidRPr="004D3035" w:rsidRDefault="004D3035" w:rsidP="004D3035">
      <w:pPr>
        <w:pStyle w:val="Heading2"/>
      </w:pPr>
      <w:r w:rsidRPr="004D3035">
        <w:t xml:space="preserve">GZ Inc could not gain an advantage in trade competition </w:t>
      </w:r>
      <w:proofErr w:type="gramStart"/>
      <w:r w:rsidRPr="004D3035">
        <w:t>as a result of</w:t>
      </w:r>
      <w:proofErr w:type="gramEnd"/>
      <w:r w:rsidRPr="004D3035">
        <w:t xml:space="preserve"> this submission.</w:t>
      </w:r>
    </w:p>
    <w:p w14:paraId="5739F08D" w14:textId="77777777" w:rsidR="004D3035" w:rsidRPr="004D3035" w:rsidRDefault="004D3035" w:rsidP="004D3035">
      <w:pPr>
        <w:pStyle w:val="Heading2"/>
      </w:pPr>
      <w:r w:rsidRPr="004D3035">
        <w:t>GZ Inc wishes to be heard in support of its submission.</w:t>
      </w:r>
    </w:p>
    <w:p w14:paraId="2DA81918" w14:textId="413839DD" w:rsidR="00E51D19" w:rsidRPr="009E2E48" w:rsidRDefault="00BE45AA" w:rsidP="001270C8">
      <w:pPr>
        <w:pStyle w:val="Heading2"/>
      </w:pPr>
      <w:r w:rsidRPr="009E2E48">
        <w:lastRenderedPageBreak/>
        <w:t>GZ</w:t>
      </w:r>
      <w:r w:rsidR="00222C40" w:rsidRPr="009E2E48">
        <w:t xml:space="preserve"> Inc</w:t>
      </w:r>
      <w:r w:rsidR="00A17D36" w:rsidRPr="009E2E48">
        <w:t xml:space="preserve"> supports </w:t>
      </w:r>
      <w:r w:rsidRPr="009E2E48">
        <w:t>the PDP</w:t>
      </w:r>
      <w:r w:rsidR="00A17D36" w:rsidRPr="009E2E48">
        <w:t xml:space="preserve"> subject to amendments to ensure that</w:t>
      </w:r>
      <w:r w:rsidR="001270C8" w:rsidRPr="009E2E48">
        <w:t xml:space="preserve"> t</w:t>
      </w:r>
      <w:r w:rsidR="00964D3C" w:rsidRPr="009E2E48">
        <w:t xml:space="preserve">he </w:t>
      </w:r>
      <w:r w:rsidR="00F44296">
        <w:t xml:space="preserve">intensification </w:t>
      </w:r>
      <w:r w:rsidR="00964D3C" w:rsidRPr="009E2E48">
        <w:t xml:space="preserve">outcomes </w:t>
      </w:r>
      <w:r w:rsidR="00F44296">
        <w:t>required</w:t>
      </w:r>
      <w:r w:rsidR="00F44296" w:rsidRPr="009E2E48">
        <w:t xml:space="preserve"> </w:t>
      </w:r>
      <w:r w:rsidR="00964D3C" w:rsidRPr="009E2E48">
        <w:t xml:space="preserve">by the </w:t>
      </w:r>
      <w:r w:rsidR="00F44296">
        <w:t>Resource Management Act 1991</w:t>
      </w:r>
      <w:r w:rsidR="00ED4209">
        <w:t xml:space="preserve"> (“</w:t>
      </w:r>
      <w:r w:rsidR="00BA7FC8">
        <w:t xml:space="preserve">the RMA”) </w:t>
      </w:r>
      <w:r w:rsidR="00F44296">
        <w:t xml:space="preserve">(as amended by the Resource Management (Enabling Housing Supply and Other Matters) Act 2021 and the </w:t>
      </w:r>
      <w:r w:rsidR="00964D3C" w:rsidRPr="009E2E48">
        <w:t>National Policy Statement on Urban Development 2020 (“NPS</w:t>
      </w:r>
      <w:r w:rsidR="00B71C4D">
        <w:noBreakHyphen/>
      </w:r>
      <w:r w:rsidR="00964D3C" w:rsidRPr="009E2E48">
        <w:t xml:space="preserve">UD”) are </w:t>
      </w:r>
      <w:r w:rsidR="00F44296">
        <w:t>enabled</w:t>
      </w:r>
      <w:r w:rsidR="00964D3C" w:rsidRPr="009E2E48">
        <w:t>, specifically that</w:t>
      </w:r>
      <w:r w:rsidR="00E51D19" w:rsidRPr="009E2E48">
        <w:t>:</w:t>
      </w:r>
    </w:p>
    <w:p w14:paraId="29DCC9E5" w14:textId="142A4CA2" w:rsidR="00EC30DC" w:rsidRPr="009E2E48" w:rsidRDefault="00E51D19" w:rsidP="001270C8">
      <w:pPr>
        <w:pStyle w:val="Heading3"/>
      </w:pPr>
      <w:r w:rsidRPr="009E2E48">
        <w:t>I</w:t>
      </w:r>
      <w:r w:rsidR="00964D3C" w:rsidRPr="009E2E48">
        <w:t xml:space="preserve">ntensification is </w:t>
      </w:r>
      <w:r w:rsidR="00A852FF">
        <w:t>fully realised</w:t>
      </w:r>
      <w:r w:rsidR="00964D3C" w:rsidRPr="009E2E48">
        <w:t xml:space="preserve"> in the City Centre Zone by removing height limits in this </w:t>
      </w:r>
      <w:proofErr w:type="gramStart"/>
      <w:r w:rsidR="00964D3C" w:rsidRPr="009E2E48">
        <w:t>zone</w:t>
      </w:r>
      <w:r w:rsidR="00121F14" w:rsidRPr="009E2E48">
        <w:t>;</w:t>
      </w:r>
      <w:proofErr w:type="gramEnd"/>
    </w:p>
    <w:p w14:paraId="08656F10" w14:textId="61151201" w:rsidR="00E51D19" w:rsidRPr="009E2E48" w:rsidRDefault="00E51D19" w:rsidP="001270C8">
      <w:pPr>
        <w:pStyle w:val="Heading3"/>
      </w:pPr>
      <w:r w:rsidRPr="009E2E48">
        <w:t xml:space="preserve">Walkable catchments from the City Centre Zone, Metropolitan Zones and from Mass Rapid Transit stops are </w:t>
      </w:r>
      <w:r w:rsidR="004406F4">
        <w:t xml:space="preserve">defined as </w:t>
      </w:r>
      <w:r w:rsidRPr="009E2E48">
        <w:t>those within a</w:t>
      </w:r>
      <w:r w:rsidR="00F44296">
        <w:t xml:space="preserve"> distance which appropriately reflects </w:t>
      </w:r>
      <w:r w:rsidR="00C31EEF">
        <w:t xml:space="preserve">the </w:t>
      </w:r>
      <w:r w:rsidR="00291C8C">
        <w:t xml:space="preserve">provision and </w:t>
      </w:r>
      <w:r w:rsidR="00C31EEF">
        <w:t>frequency of public transport, the draw of the services and amenities within the city centre</w:t>
      </w:r>
      <w:r w:rsidR="00D96283">
        <w:t xml:space="preserve">, </w:t>
      </w:r>
      <w:r w:rsidR="00C31EEF">
        <w:t xml:space="preserve">the connectivity of the city centre, and </w:t>
      </w:r>
      <w:r w:rsidR="002E581F">
        <w:t>Wellington’s topography</w:t>
      </w:r>
      <w:r w:rsidR="00F44296">
        <w:t>, being a</w:t>
      </w:r>
      <w:r w:rsidRPr="009E2E48">
        <w:t xml:space="preserve"> 15</w:t>
      </w:r>
      <w:r w:rsidR="00B71C4D">
        <w:noBreakHyphen/>
      </w:r>
      <w:r w:rsidRPr="009E2E48">
        <w:t xml:space="preserve">minute </w:t>
      </w:r>
      <w:r w:rsidR="006303E5">
        <w:t xml:space="preserve">walking </w:t>
      </w:r>
      <w:proofErr w:type="gramStart"/>
      <w:r w:rsidRPr="009E2E48">
        <w:t>distance;</w:t>
      </w:r>
      <w:proofErr w:type="gramEnd"/>
    </w:p>
    <w:p w14:paraId="315E5AA6" w14:textId="1C278EA1" w:rsidR="00E51D19" w:rsidRPr="009E2E48" w:rsidRDefault="00E51D19" w:rsidP="001270C8">
      <w:pPr>
        <w:pStyle w:val="Heading3"/>
      </w:pPr>
      <w:r w:rsidRPr="009E2E48">
        <w:t xml:space="preserve">The Johnsonville </w:t>
      </w:r>
      <w:r w:rsidR="00E34976" w:rsidRPr="009E2E48">
        <w:t>Rail Line</w:t>
      </w:r>
      <w:r w:rsidRPr="009E2E48">
        <w:t xml:space="preserve"> is </w:t>
      </w:r>
      <w:r w:rsidR="00995791">
        <w:t>designated</w:t>
      </w:r>
      <w:r w:rsidRPr="009E2E48">
        <w:t xml:space="preserve"> as “rapid transit”</w:t>
      </w:r>
      <w:r w:rsidR="00995791">
        <w:t xml:space="preserve"> in the District Plan</w:t>
      </w:r>
      <w:r w:rsidR="00F44296">
        <w:t xml:space="preserve"> in accordance with </w:t>
      </w:r>
      <w:r w:rsidR="007542A3">
        <w:t>the Wellington Regional Council’s Regional Land Transport Plan 2021 (“the RLTP 2021”)</w:t>
      </w:r>
      <w:r w:rsidR="007B2D46">
        <w:t xml:space="preserve"> and the NPS</w:t>
      </w:r>
      <w:r w:rsidR="007B2D46">
        <w:noBreakHyphen/>
        <w:t>UD</w:t>
      </w:r>
      <w:r w:rsidRPr="009E2E48">
        <w:t>; and</w:t>
      </w:r>
    </w:p>
    <w:p w14:paraId="4E919D55" w14:textId="4022C0A9" w:rsidR="006A0230" w:rsidRDefault="00995791" w:rsidP="001270C8">
      <w:pPr>
        <w:pStyle w:val="Heading3"/>
      </w:pPr>
      <w:r w:rsidRPr="00316353">
        <w:t>Special character qualifying</w:t>
      </w:r>
      <w:r w:rsidR="008B4950" w:rsidRPr="00316353">
        <w:t xml:space="preserve"> matters</w:t>
      </w:r>
      <w:r w:rsidRPr="00316353">
        <w:t xml:space="preserve"> </w:t>
      </w:r>
      <w:r w:rsidR="00696F7B" w:rsidRPr="00316353">
        <w:t xml:space="preserve">are </w:t>
      </w:r>
      <w:r w:rsidR="00A8196E" w:rsidRPr="00316353">
        <w:t>applied</w:t>
      </w:r>
      <w:r w:rsidR="00B90603">
        <w:t xml:space="preserve"> within the Medium Density Residential Zone</w:t>
      </w:r>
      <w:r w:rsidR="006A0230">
        <w:t>:</w:t>
      </w:r>
    </w:p>
    <w:p w14:paraId="376E20BB" w14:textId="2B1F0780" w:rsidR="006A0230" w:rsidRDefault="008108BB" w:rsidP="006A0230">
      <w:pPr>
        <w:pStyle w:val="Heading4"/>
      </w:pPr>
      <w:r w:rsidRPr="00316353">
        <w:t xml:space="preserve">to </w:t>
      </w:r>
      <w:r w:rsidR="00E16A60" w:rsidRPr="00316353">
        <w:t>sites</w:t>
      </w:r>
      <w:r w:rsidRPr="00316353">
        <w:t xml:space="preserve"> </w:t>
      </w:r>
      <w:r w:rsidR="00795880" w:rsidRPr="00316353">
        <w:t xml:space="preserve">and areas </w:t>
      </w:r>
      <w:r w:rsidR="004150A8" w:rsidRPr="00316353">
        <w:t xml:space="preserve">following </w:t>
      </w:r>
      <w:r w:rsidR="008E7258" w:rsidRPr="00316353">
        <w:t xml:space="preserve">rigorous, </w:t>
      </w:r>
      <w:r w:rsidR="00A8196E" w:rsidRPr="00316353">
        <w:t xml:space="preserve">site-specific </w:t>
      </w:r>
      <w:proofErr w:type="gramStart"/>
      <w:r w:rsidR="00A8196E" w:rsidRPr="00316353">
        <w:t>analysis</w:t>
      </w:r>
      <w:r w:rsidR="006A0230">
        <w:t>;</w:t>
      </w:r>
      <w:proofErr w:type="gramEnd"/>
    </w:p>
    <w:p w14:paraId="19B1D0E4" w14:textId="2467CD4E" w:rsidR="006A0230" w:rsidRDefault="006A0230" w:rsidP="006A0230">
      <w:pPr>
        <w:pStyle w:val="Heading4"/>
      </w:pPr>
      <w:r>
        <w:t>only to areas</w:t>
      </w:r>
      <w:r w:rsidRPr="006A0230">
        <w:t xml:space="preserve"> with high concentrations of character (</w:t>
      </w:r>
      <w:proofErr w:type="gramStart"/>
      <w:r w:rsidRPr="006A0230">
        <w:t>i.e.</w:t>
      </w:r>
      <w:proofErr w:type="gramEnd"/>
      <w:r w:rsidRPr="006A0230">
        <w:t xml:space="preserve"> areas with a predominance of primary classified buildings)</w:t>
      </w:r>
      <w:r>
        <w:t>; and</w:t>
      </w:r>
    </w:p>
    <w:p w14:paraId="23D240FC" w14:textId="6C2BD7EC" w:rsidR="00E51D19" w:rsidRDefault="00995791" w:rsidP="006A0230">
      <w:pPr>
        <w:pStyle w:val="Heading4"/>
      </w:pPr>
      <w:r w:rsidRPr="00316353">
        <w:t>the s</w:t>
      </w:r>
      <w:r w:rsidR="003A08E2" w:rsidRPr="00316353">
        <w:t>ection</w:t>
      </w:r>
      <w:r w:rsidRPr="00316353">
        <w:t xml:space="preserve"> 32 analysis complies with the requirements of </w:t>
      </w:r>
      <w:r w:rsidR="00CF3916">
        <w:t>section</w:t>
      </w:r>
      <w:r w:rsidR="001A0318">
        <w:t>s</w:t>
      </w:r>
      <w:r w:rsidR="00CF3916">
        <w:t xml:space="preserve"> 32 and 77L of </w:t>
      </w:r>
      <w:r w:rsidRPr="00316353">
        <w:t xml:space="preserve">the </w:t>
      </w:r>
      <w:r w:rsidR="00316353" w:rsidRPr="00316353">
        <w:t>RMA</w:t>
      </w:r>
      <w:r w:rsidR="008B4950" w:rsidRPr="00316353">
        <w:t>.</w:t>
      </w:r>
    </w:p>
    <w:p w14:paraId="23884CBA" w14:textId="3B4C1F7E" w:rsidR="0023775D" w:rsidRPr="0023775D" w:rsidRDefault="0023775D" w:rsidP="0023775D">
      <w:pPr>
        <w:pStyle w:val="Heading3"/>
        <w:numPr>
          <w:ilvl w:val="0"/>
          <w:numId w:val="0"/>
        </w:numPr>
        <w:ind w:left="720"/>
        <w:rPr>
          <w:b/>
          <w:bCs/>
        </w:rPr>
      </w:pPr>
      <w:r w:rsidRPr="0023775D">
        <w:rPr>
          <w:b/>
          <w:bCs/>
        </w:rPr>
        <w:t>Summary table</w:t>
      </w:r>
    </w:p>
    <w:p w14:paraId="7E93B386" w14:textId="2AF670BA" w:rsidR="00803200" w:rsidRDefault="00C73792" w:rsidP="00C73792">
      <w:pPr>
        <w:pStyle w:val="Heading2"/>
        <w:sectPr w:rsidR="00803200" w:rsidSect="00C054BB">
          <w:headerReference w:type="even" r:id="rId8"/>
          <w:headerReference w:type="default" r:id="rId9"/>
          <w:footerReference w:type="even" r:id="rId10"/>
          <w:footerReference w:type="default" r:id="rId11"/>
          <w:headerReference w:type="first" r:id="rId12"/>
          <w:footerReference w:type="first" r:id="rId13"/>
          <w:pgSz w:w="11907" w:h="16840" w:code="9"/>
          <w:pgMar w:top="1440" w:right="1361" w:bottom="1134" w:left="2552" w:header="720" w:footer="454" w:gutter="0"/>
          <w:pgNumType w:start="1"/>
          <w:cols w:space="720"/>
          <w:titlePg/>
          <w:docGrid w:linePitch="258"/>
        </w:sectPr>
      </w:pPr>
      <w:r>
        <w:t xml:space="preserve">A table summarising </w:t>
      </w:r>
      <w:r w:rsidR="005C162B">
        <w:t xml:space="preserve">GZ Inc’s </w:t>
      </w:r>
      <w:r>
        <w:t>proposed amendments is set out below.</w:t>
      </w:r>
      <w:r w:rsidR="00D97B20">
        <w:t xml:space="preserve">   Detailed submission</w:t>
      </w:r>
      <w:r w:rsidR="0023775D">
        <w:t>s</w:t>
      </w:r>
      <w:r w:rsidR="00D97B20">
        <w:t xml:space="preserve"> are set out at </w:t>
      </w:r>
      <w:r w:rsidR="0023775D">
        <w:t>S</w:t>
      </w:r>
      <w:r w:rsidR="00D97B20">
        <w:t>ections 3 to 7.</w:t>
      </w:r>
    </w:p>
    <w:tbl>
      <w:tblPr>
        <w:tblStyle w:val="TableGrid"/>
        <w:tblW w:w="14029" w:type="dxa"/>
        <w:tblLook w:val="04A0" w:firstRow="1" w:lastRow="0" w:firstColumn="1" w:lastColumn="0" w:noHBand="0" w:noVBand="1"/>
      </w:tblPr>
      <w:tblGrid>
        <w:gridCol w:w="2188"/>
        <w:gridCol w:w="1701"/>
        <w:gridCol w:w="1493"/>
        <w:gridCol w:w="3385"/>
        <w:gridCol w:w="5262"/>
      </w:tblGrid>
      <w:tr w:rsidR="00803200" w:rsidRPr="00F26663" w14:paraId="4412B554" w14:textId="362BCEC6" w:rsidTr="00803200">
        <w:trPr>
          <w:cantSplit/>
          <w:tblHeader/>
        </w:trPr>
        <w:tc>
          <w:tcPr>
            <w:tcW w:w="2188" w:type="dxa"/>
            <w:shd w:val="clear" w:color="auto" w:fill="E7E6E6" w:themeFill="background2"/>
          </w:tcPr>
          <w:p w14:paraId="4811C300" w14:textId="1049E3D9" w:rsidR="00803200" w:rsidRPr="00B46A91" w:rsidRDefault="00803200" w:rsidP="00B46A91">
            <w:pPr>
              <w:pStyle w:val="SubTitleBold"/>
              <w:spacing w:line="240" w:lineRule="auto"/>
              <w:ind w:left="0"/>
              <w:jc w:val="left"/>
              <w:rPr>
                <w:sz w:val="17"/>
                <w:szCs w:val="17"/>
              </w:rPr>
            </w:pPr>
            <w:r w:rsidRPr="00F26663">
              <w:rPr>
                <w:sz w:val="17"/>
                <w:szCs w:val="17"/>
              </w:rPr>
              <w:lastRenderedPageBreak/>
              <w:t>Chapter / Sub-part</w:t>
            </w:r>
          </w:p>
        </w:tc>
        <w:tc>
          <w:tcPr>
            <w:tcW w:w="1701" w:type="dxa"/>
            <w:shd w:val="clear" w:color="auto" w:fill="E7E6E6" w:themeFill="background2"/>
          </w:tcPr>
          <w:p w14:paraId="6C72B5EF" w14:textId="72C7DD35" w:rsidR="00803200" w:rsidRPr="00F26663" w:rsidRDefault="00803200" w:rsidP="00B46A91">
            <w:pPr>
              <w:pStyle w:val="SubTitleBold"/>
              <w:spacing w:after="120" w:line="240" w:lineRule="auto"/>
              <w:ind w:left="0"/>
              <w:jc w:val="left"/>
              <w:rPr>
                <w:sz w:val="17"/>
                <w:szCs w:val="17"/>
              </w:rPr>
            </w:pPr>
            <w:r w:rsidRPr="00F26663">
              <w:rPr>
                <w:sz w:val="17"/>
                <w:szCs w:val="17"/>
              </w:rPr>
              <w:t>Specific provision / matter</w:t>
            </w:r>
          </w:p>
        </w:tc>
        <w:tc>
          <w:tcPr>
            <w:tcW w:w="1493" w:type="dxa"/>
            <w:shd w:val="clear" w:color="auto" w:fill="E7E6E6" w:themeFill="background2"/>
          </w:tcPr>
          <w:p w14:paraId="07BA70FD" w14:textId="787E1C1C" w:rsidR="00803200" w:rsidRPr="00F26663" w:rsidRDefault="00803200" w:rsidP="00C52B5A">
            <w:pPr>
              <w:pStyle w:val="SubTitleBold"/>
              <w:spacing w:line="240" w:lineRule="auto"/>
              <w:ind w:left="0"/>
              <w:jc w:val="left"/>
              <w:rPr>
                <w:sz w:val="17"/>
                <w:szCs w:val="17"/>
              </w:rPr>
            </w:pPr>
            <w:r w:rsidRPr="00F26663">
              <w:rPr>
                <w:sz w:val="17"/>
                <w:szCs w:val="17"/>
              </w:rPr>
              <w:t>Position</w:t>
            </w:r>
          </w:p>
        </w:tc>
        <w:tc>
          <w:tcPr>
            <w:tcW w:w="3385" w:type="dxa"/>
            <w:shd w:val="clear" w:color="auto" w:fill="E7E6E6" w:themeFill="background2"/>
          </w:tcPr>
          <w:p w14:paraId="168D4166" w14:textId="190957A2" w:rsidR="00803200" w:rsidRPr="00F26663" w:rsidRDefault="00803200" w:rsidP="00C52B5A">
            <w:pPr>
              <w:pStyle w:val="SubTitleBold"/>
              <w:spacing w:line="240" w:lineRule="auto"/>
              <w:ind w:left="0"/>
              <w:jc w:val="left"/>
              <w:rPr>
                <w:sz w:val="17"/>
                <w:szCs w:val="17"/>
              </w:rPr>
            </w:pPr>
            <w:r w:rsidRPr="00F26663">
              <w:rPr>
                <w:sz w:val="17"/>
                <w:szCs w:val="17"/>
              </w:rPr>
              <w:t>Reason for submission</w:t>
            </w:r>
          </w:p>
        </w:tc>
        <w:tc>
          <w:tcPr>
            <w:tcW w:w="5262" w:type="dxa"/>
            <w:shd w:val="clear" w:color="auto" w:fill="E7E6E6" w:themeFill="background2"/>
          </w:tcPr>
          <w:p w14:paraId="49A8595F" w14:textId="22C6B893" w:rsidR="00803200" w:rsidRPr="00F26663" w:rsidRDefault="00803200" w:rsidP="00C52B5A">
            <w:pPr>
              <w:pStyle w:val="SubTitleBold"/>
              <w:spacing w:line="240" w:lineRule="auto"/>
              <w:ind w:left="0"/>
              <w:jc w:val="left"/>
              <w:rPr>
                <w:sz w:val="17"/>
                <w:szCs w:val="17"/>
              </w:rPr>
            </w:pPr>
            <w:r w:rsidRPr="00F26663">
              <w:rPr>
                <w:sz w:val="17"/>
                <w:szCs w:val="17"/>
              </w:rPr>
              <w:t>Decisions requested / relief sought</w:t>
            </w:r>
          </w:p>
        </w:tc>
      </w:tr>
      <w:tr w:rsidR="00371689" w:rsidRPr="00F26663" w14:paraId="65EA6A78" w14:textId="77777777" w:rsidTr="002434F8">
        <w:trPr>
          <w:cantSplit/>
        </w:trPr>
        <w:tc>
          <w:tcPr>
            <w:tcW w:w="14029" w:type="dxa"/>
            <w:gridSpan w:val="5"/>
            <w:shd w:val="clear" w:color="auto" w:fill="F2F2F2" w:themeFill="background1" w:themeFillShade="F2"/>
          </w:tcPr>
          <w:p w14:paraId="0ED6EA62" w14:textId="3C81714C" w:rsidR="00371689" w:rsidRPr="00371689" w:rsidRDefault="000336BE" w:rsidP="00371689">
            <w:pPr>
              <w:pStyle w:val="SubTitleBold"/>
              <w:keepNext w:val="0"/>
              <w:spacing w:before="60" w:after="60" w:line="240" w:lineRule="auto"/>
              <w:ind w:left="0"/>
              <w:jc w:val="left"/>
              <w:rPr>
                <w:b w:val="0"/>
                <w:bCs w:val="0"/>
                <w:sz w:val="17"/>
                <w:szCs w:val="17"/>
                <w:u w:val="single"/>
              </w:rPr>
            </w:pPr>
            <w:r>
              <w:rPr>
                <w:b w:val="0"/>
                <w:bCs w:val="0"/>
                <w:sz w:val="17"/>
                <w:szCs w:val="17"/>
                <w:u w:val="single"/>
              </w:rPr>
              <w:t>Height controls in the</w:t>
            </w:r>
            <w:r w:rsidR="000A15EE">
              <w:rPr>
                <w:b w:val="0"/>
                <w:bCs w:val="0"/>
                <w:sz w:val="17"/>
                <w:szCs w:val="17"/>
                <w:u w:val="single"/>
              </w:rPr>
              <w:t xml:space="preserve"> City Centre Zone</w:t>
            </w:r>
          </w:p>
        </w:tc>
      </w:tr>
      <w:tr w:rsidR="00803200" w:rsidRPr="00F26663" w14:paraId="59F6EE33" w14:textId="5A796A60" w:rsidTr="00803200">
        <w:trPr>
          <w:cantSplit/>
        </w:trPr>
        <w:tc>
          <w:tcPr>
            <w:tcW w:w="2188" w:type="dxa"/>
          </w:tcPr>
          <w:p w14:paraId="1CC3381A" w14:textId="122083DC" w:rsidR="00803200" w:rsidRPr="00B46A91" w:rsidRDefault="00803200" w:rsidP="00B46A91">
            <w:pPr>
              <w:pStyle w:val="SubTitleBold"/>
              <w:keepNext w:val="0"/>
              <w:spacing w:after="120" w:line="240" w:lineRule="auto"/>
              <w:ind w:left="0"/>
              <w:jc w:val="left"/>
              <w:rPr>
                <w:b w:val="0"/>
                <w:bCs w:val="0"/>
                <w:sz w:val="17"/>
                <w:szCs w:val="17"/>
              </w:rPr>
            </w:pPr>
            <w:r w:rsidRPr="00B46A91">
              <w:rPr>
                <w:b w:val="0"/>
                <w:bCs w:val="0"/>
                <w:sz w:val="17"/>
                <w:szCs w:val="17"/>
              </w:rPr>
              <w:t xml:space="preserve">Part 3 </w:t>
            </w:r>
            <w:r w:rsidR="00FC1790" w:rsidRPr="006B03BA">
              <w:rPr>
                <w:b w:val="0"/>
                <w:bCs w:val="0"/>
                <w:sz w:val="17"/>
                <w:szCs w:val="17"/>
              </w:rPr>
              <w:t>Area-Specific Matter</w:t>
            </w:r>
            <w:r w:rsidR="00FC1790">
              <w:rPr>
                <w:b w:val="0"/>
                <w:bCs w:val="0"/>
                <w:sz w:val="17"/>
                <w:szCs w:val="17"/>
              </w:rPr>
              <w:t xml:space="preserve">s </w:t>
            </w:r>
            <w:r w:rsidR="00FC1790" w:rsidRPr="00535C95">
              <w:rPr>
                <w:b w:val="0"/>
                <w:bCs w:val="0"/>
                <w:sz w:val="17"/>
                <w:szCs w:val="17"/>
              </w:rPr>
              <w:t xml:space="preserve">– </w:t>
            </w:r>
            <w:r w:rsidRPr="00B46A91">
              <w:rPr>
                <w:b w:val="0"/>
                <w:bCs w:val="0"/>
                <w:sz w:val="17"/>
                <w:szCs w:val="17"/>
              </w:rPr>
              <w:t>Zones – Commercial and mixed use - City Centre Zone.</w:t>
            </w:r>
          </w:p>
        </w:tc>
        <w:tc>
          <w:tcPr>
            <w:tcW w:w="1701" w:type="dxa"/>
          </w:tcPr>
          <w:p w14:paraId="084BF618" w14:textId="131F7177" w:rsidR="00803200" w:rsidRPr="00B46A91" w:rsidRDefault="00803200" w:rsidP="00B46A91">
            <w:pPr>
              <w:pStyle w:val="SubTitleBold"/>
              <w:keepNext w:val="0"/>
              <w:spacing w:after="120" w:line="240" w:lineRule="auto"/>
              <w:ind w:left="0"/>
              <w:jc w:val="left"/>
              <w:rPr>
                <w:b w:val="0"/>
                <w:bCs w:val="0"/>
                <w:sz w:val="17"/>
                <w:szCs w:val="17"/>
              </w:rPr>
            </w:pPr>
            <w:r w:rsidRPr="00B46A91">
              <w:rPr>
                <w:b w:val="0"/>
                <w:bCs w:val="0"/>
                <w:sz w:val="17"/>
                <w:szCs w:val="17"/>
              </w:rPr>
              <w:t>CCZ-S1 Maximum height.</w:t>
            </w:r>
          </w:p>
        </w:tc>
        <w:tc>
          <w:tcPr>
            <w:tcW w:w="1493" w:type="dxa"/>
          </w:tcPr>
          <w:p w14:paraId="652CB67B" w14:textId="7B356B09" w:rsidR="00803200" w:rsidRPr="00B46A91" w:rsidRDefault="00803200" w:rsidP="00B46A91">
            <w:pPr>
              <w:pStyle w:val="SubTitleBold"/>
              <w:keepNext w:val="0"/>
              <w:spacing w:after="120" w:line="240" w:lineRule="auto"/>
              <w:ind w:left="0"/>
              <w:jc w:val="left"/>
              <w:rPr>
                <w:b w:val="0"/>
                <w:bCs w:val="0"/>
                <w:sz w:val="17"/>
                <w:szCs w:val="17"/>
              </w:rPr>
            </w:pPr>
            <w:r w:rsidRPr="00B46A91">
              <w:rPr>
                <w:b w:val="0"/>
                <w:bCs w:val="0"/>
                <w:sz w:val="17"/>
                <w:szCs w:val="17"/>
              </w:rPr>
              <w:t>Oppose.</w:t>
            </w:r>
          </w:p>
        </w:tc>
        <w:tc>
          <w:tcPr>
            <w:tcW w:w="3385" w:type="dxa"/>
          </w:tcPr>
          <w:p w14:paraId="7F617C9F" w14:textId="6ABCCC26" w:rsidR="00803200" w:rsidRPr="00B46A91" w:rsidRDefault="00803200" w:rsidP="00B46A91">
            <w:pPr>
              <w:pStyle w:val="SubTitleBold"/>
              <w:keepNext w:val="0"/>
              <w:spacing w:after="120" w:line="240" w:lineRule="auto"/>
              <w:ind w:left="0"/>
              <w:jc w:val="left"/>
              <w:rPr>
                <w:b w:val="0"/>
                <w:bCs w:val="0"/>
                <w:sz w:val="17"/>
                <w:szCs w:val="17"/>
              </w:rPr>
            </w:pPr>
            <w:r w:rsidRPr="00B46A91">
              <w:rPr>
                <w:b w:val="0"/>
                <w:bCs w:val="0"/>
                <w:sz w:val="17"/>
                <w:szCs w:val="17"/>
              </w:rPr>
              <w:t>A maximum height control in the City Centre Zone is inconsistent with the policy direction of the NPS-UD and is not justified with reference to a qualifying matter.</w:t>
            </w:r>
          </w:p>
        </w:tc>
        <w:tc>
          <w:tcPr>
            <w:tcW w:w="5262" w:type="dxa"/>
          </w:tcPr>
          <w:p w14:paraId="7EF2CF0B" w14:textId="6E20870D" w:rsidR="00803200" w:rsidRPr="00B46A91" w:rsidRDefault="00803200" w:rsidP="00B46A91">
            <w:pPr>
              <w:pStyle w:val="SubTitleBold"/>
              <w:keepNext w:val="0"/>
              <w:spacing w:after="120" w:line="240" w:lineRule="auto"/>
              <w:ind w:left="0"/>
              <w:jc w:val="left"/>
              <w:rPr>
                <w:b w:val="0"/>
                <w:bCs w:val="0"/>
                <w:sz w:val="17"/>
                <w:szCs w:val="17"/>
              </w:rPr>
            </w:pPr>
            <w:r w:rsidRPr="00B46A91">
              <w:rPr>
                <w:b w:val="0"/>
                <w:bCs w:val="0"/>
                <w:sz w:val="17"/>
                <w:szCs w:val="17"/>
              </w:rPr>
              <w:t>Delete provision CCZ-S1 Maximum height.</w:t>
            </w:r>
          </w:p>
        </w:tc>
      </w:tr>
      <w:tr w:rsidR="00371689" w:rsidRPr="00F26663" w14:paraId="78A78605" w14:textId="77777777" w:rsidTr="002434F8">
        <w:trPr>
          <w:cantSplit/>
        </w:trPr>
        <w:tc>
          <w:tcPr>
            <w:tcW w:w="14029" w:type="dxa"/>
            <w:gridSpan w:val="5"/>
            <w:shd w:val="clear" w:color="auto" w:fill="F2F2F2" w:themeFill="background1" w:themeFillShade="F2"/>
          </w:tcPr>
          <w:p w14:paraId="320B5ACF" w14:textId="1BB5EEF6" w:rsidR="00371689" w:rsidRPr="00371689" w:rsidRDefault="00371689" w:rsidP="00371689">
            <w:pPr>
              <w:pStyle w:val="SubTitleBold"/>
              <w:keepNext w:val="0"/>
              <w:spacing w:before="60" w:after="60" w:line="240" w:lineRule="auto"/>
              <w:ind w:left="0"/>
              <w:jc w:val="left"/>
              <w:rPr>
                <w:b w:val="0"/>
                <w:bCs w:val="0"/>
                <w:sz w:val="17"/>
                <w:szCs w:val="17"/>
                <w:u w:val="single"/>
              </w:rPr>
            </w:pPr>
            <w:r w:rsidRPr="00371689">
              <w:rPr>
                <w:b w:val="0"/>
                <w:bCs w:val="0"/>
                <w:sz w:val="17"/>
                <w:szCs w:val="17"/>
                <w:u w:val="single"/>
              </w:rPr>
              <w:t>Walkable catchments</w:t>
            </w:r>
          </w:p>
        </w:tc>
      </w:tr>
      <w:tr w:rsidR="00803200" w:rsidRPr="00F26663" w14:paraId="26CB3BC4" w14:textId="43FDE7F6" w:rsidTr="00803200">
        <w:trPr>
          <w:cantSplit/>
        </w:trPr>
        <w:tc>
          <w:tcPr>
            <w:tcW w:w="2188" w:type="dxa"/>
          </w:tcPr>
          <w:p w14:paraId="711CFFE7" w14:textId="28D518AE" w:rsidR="00803200" w:rsidRPr="00B46A91" w:rsidRDefault="00803200" w:rsidP="00B46A91">
            <w:pPr>
              <w:pStyle w:val="SubTitleBold"/>
              <w:keepNext w:val="0"/>
              <w:spacing w:after="120" w:line="240" w:lineRule="auto"/>
              <w:ind w:left="0"/>
              <w:jc w:val="left"/>
              <w:rPr>
                <w:b w:val="0"/>
                <w:bCs w:val="0"/>
                <w:sz w:val="17"/>
                <w:szCs w:val="17"/>
              </w:rPr>
            </w:pPr>
            <w:r w:rsidRPr="00B46A91">
              <w:rPr>
                <w:b w:val="0"/>
                <w:bCs w:val="0"/>
                <w:sz w:val="17"/>
                <w:szCs w:val="17"/>
              </w:rPr>
              <w:t xml:space="preserve">Part 3 </w:t>
            </w:r>
            <w:r w:rsidR="00FC1790" w:rsidRPr="006B03BA">
              <w:rPr>
                <w:b w:val="0"/>
                <w:bCs w:val="0"/>
                <w:sz w:val="17"/>
                <w:szCs w:val="17"/>
              </w:rPr>
              <w:t>Area-Specific Matter</w:t>
            </w:r>
            <w:r w:rsidR="00FC1790">
              <w:rPr>
                <w:b w:val="0"/>
                <w:bCs w:val="0"/>
                <w:sz w:val="17"/>
                <w:szCs w:val="17"/>
              </w:rPr>
              <w:t xml:space="preserve">s </w:t>
            </w:r>
            <w:r w:rsidR="00FC1790" w:rsidRPr="00535C95">
              <w:rPr>
                <w:b w:val="0"/>
                <w:bCs w:val="0"/>
                <w:sz w:val="17"/>
                <w:szCs w:val="17"/>
              </w:rPr>
              <w:t xml:space="preserve">– </w:t>
            </w:r>
            <w:r w:rsidRPr="00B46A91">
              <w:rPr>
                <w:b w:val="0"/>
                <w:bCs w:val="0"/>
                <w:sz w:val="17"/>
                <w:szCs w:val="17"/>
              </w:rPr>
              <w:t>Zones – Commercial and mixed use - City Centre Zone.</w:t>
            </w:r>
          </w:p>
        </w:tc>
        <w:tc>
          <w:tcPr>
            <w:tcW w:w="1701" w:type="dxa"/>
          </w:tcPr>
          <w:p w14:paraId="009237E9" w14:textId="2A581415" w:rsidR="00803200" w:rsidRPr="00B46A91" w:rsidRDefault="00803200" w:rsidP="00B46A91">
            <w:pPr>
              <w:pStyle w:val="SubTitleBold"/>
              <w:keepNext w:val="0"/>
              <w:spacing w:after="120" w:line="240" w:lineRule="auto"/>
              <w:ind w:left="0"/>
              <w:jc w:val="left"/>
              <w:rPr>
                <w:b w:val="0"/>
                <w:bCs w:val="0"/>
                <w:sz w:val="17"/>
                <w:szCs w:val="17"/>
              </w:rPr>
            </w:pPr>
            <w:r w:rsidRPr="00B46A91">
              <w:rPr>
                <w:b w:val="0"/>
                <w:bCs w:val="0"/>
                <w:sz w:val="17"/>
                <w:szCs w:val="17"/>
              </w:rPr>
              <w:t>Area of walkable catchment.</w:t>
            </w:r>
          </w:p>
        </w:tc>
        <w:tc>
          <w:tcPr>
            <w:tcW w:w="1493" w:type="dxa"/>
          </w:tcPr>
          <w:p w14:paraId="047783D8" w14:textId="2767D05C" w:rsidR="00803200" w:rsidRPr="00B46A91" w:rsidRDefault="007E623C" w:rsidP="00B46A91">
            <w:pPr>
              <w:pStyle w:val="SubTitleBold"/>
              <w:keepNext w:val="0"/>
              <w:spacing w:after="120" w:line="240" w:lineRule="auto"/>
              <w:ind w:left="0"/>
              <w:jc w:val="left"/>
              <w:rPr>
                <w:b w:val="0"/>
                <w:bCs w:val="0"/>
                <w:sz w:val="17"/>
                <w:szCs w:val="17"/>
              </w:rPr>
            </w:pPr>
            <w:r>
              <w:rPr>
                <w:b w:val="0"/>
                <w:bCs w:val="0"/>
                <w:sz w:val="17"/>
                <w:szCs w:val="17"/>
              </w:rPr>
              <w:t>Seek to amend</w:t>
            </w:r>
            <w:r w:rsidR="00803200" w:rsidRPr="00B46A91">
              <w:rPr>
                <w:b w:val="0"/>
                <w:bCs w:val="0"/>
                <w:sz w:val="17"/>
                <w:szCs w:val="17"/>
              </w:rPr>
              <w:t>.</w:t>
            </w:r>
          </w:p>
        </w:tc>
        <w:tc>
          <w:tcPr>
            <w:tcW w:w="3385" w:type="dxa"/>
          </w:tcPr>
          <w:p w14:paraId="7809B0A9" w14:textId="2359C93C" w:rsidR="00803200" w:rsidRPr="00B46A91" w:rsidRDefault="00803200" w:rsidP="00B46A91">
            <w:pPr>
              <w:pStyle w:val="SubTitleBold"/>
              <w:keepNext w:val="0"/>
              <w:spacing w:after="120" w:line="240" w:lineRule="auto"/>
              <w:ind w:left="0"/>
              <w:jc w:val="left"/>
              <w:rPr>
                <w:b w:val="0"/>
                <w:bCs w:val="0"/>
                <w:sz w:val="17"/>
                <w:szCs w:val="17"/>
              </w:rPr>
            </w:pPr>
            <w:r w:rsidRPr="00B46A91">
              <w:rPr>
                <w:b w:val="0"/>
                <w:bCs w:val="0"/>
                <w:sz w:val="17"/>
                <w:szCs w:val="17"/>
              </w:rPr>
              <w:t>A 10-minute walkable catchment is inconsistent with the policy direction of the NPS-UD and the approach of other Tier 1 local authorities.</w:t>
            </w:r>
          </w:p>
        </w:tc>
        <w:tc>
          <w:tcPr>
            <w:tcW w:w="5262" w:type="dxa"/>
          </w:tcPr>
          <w:p w14:paraId="7EB891B8" w14:textId="56D1578B" w:rsidR="00803200" w:rsidRPr="00B46A91" w:rsidRDefault="00803200" w:rsidP="00B46A91">
            <w:pPr>
              <w:pStyle w:val="SubTitleBold"/>
              <w:keepNext w:val="0"/>
              <w:spacing w:after="120" w:line="240" w:lineRule="auto"/>
              <w:ind w:left="0"/>
              <w:jc w:val="left"/>
              <w:rPr>
                <w:b w:val="0"/>
                <w:bCs w:val="0"/>
                <w:sz w:val="17"/>
                <w:szCs w:val="17"/>
              </w:rPr>
            </w:pPr>
            <w:r w:rsidRPr="00B46A91">
              <w:rPr>
                <w:b w:val="0"/>
                <w:bCs w:val="0"/>
                <w:sz w:val="17"/>
                <w:szCs w:val="17"/>
              </w:rPr>
              <w:t>Increase the area of the walkable catchment in and around the City Centre Zone to 15 minutes.</w:t>
            </w:r>
          </w:p>
        </w:tc>
      </w:tr>
      <w:tr w:rsidR="00803200" w:rsidRPr="00F26663" w14:paraId="6E9A4C6A" w14:textId="09BB3962" w:rsidTr="00803200">
        <w:trPr>
          <w:cantSplit/>
        </w:trPr>
        <w:tc>
          <w:tcPr>
            <w:tcW w:w="2188" w:type="dxa"/>
          </w:tcPr>
          <w:p w14:paraId="5DC085E0" w14:textId="1E2266F9" w:rsidR="00803200" w:rsidRPr="00B46A91" w:rsidRDefault="00803200" w:rsidP="00B46A91">
            <w:pPr>
              <w:pStyle w:val="SubTitleBold"/>
              <w:keepNext w:val="0"/>
              <w:spacing w:after="120" w:line="240" w:lineRule="auto"/>
              <w:ind w:left="0"/>
              <w:jc w:val="left"/>
              <w:rPr>
                <w:b w:val="0"/>
                <w:bCs w:val="0"/>
                <w:sz w:val="17"/>
                <w:szCs w:val="17"/>
              </w:rPr>
            </w:pPr>
            <w:r w:rsidRPr="00B46A91">
              <w:rPr>
                <w:b w:val="0"/>
                <w:bCs w:val="0"/>
                <w:sz w:val="17"/>
                <w:szCs w:val="17"/>
              </w:rPr>
              <w:t xml:space="preserve">Part 3 </w:t>
            </w:r>
            <w:r w:rsidR="00FC1790" w:rsidRPr="006B03BA">
              <w:rPr>
                <w:b w:val="0"/>
                <w:bCs w:val="0"/>
                <w:sz w:val="17"/>
                <w:szCs w:val="17"/>
              </w:rPr>
              <w:t>Area-Specific Matter</w:t>
            </w:r>
            <w:r w:rsidR="00FC1790">
              <w:rPr>
                <w:b w:val="0"/>
                <w:bCs w:val="0"/>
                <w:sz w:val="17"/>
                <w:szCs w:val="17"/>
              </w:rPr>
              <w:t xml:space="preserve">s </w:t>
            </w:r>
            <w:r w:rsidR="00FC1790" w:rsidRPr="00535C95">
              <w:rPr>
                <w:b w:val="0"/>
                <w:bCs w:val="0"/>
                <w:sz w:val="17"/>
                <w:szCs w:val="17"/>
              </w:rPr>
              <w:t xml:space="preserve">– </w:t>
            </w:r>
            <w:r w:rsidRPr="00B46A91">
              <w:rPr>
                <w:b w:val="0"/>
                <w:bCs w:val="0"/>
                <w:sz w:val="17"/>
                <w:szCs w:val="17"/>
              </w:rPr>
              <w:t>Zones – Commercial and mixed use - Metropolitan Centre Zone.</w:t>
            </w:r>
          </w:p>
        </w:tc>
        <w:tc>
          <w:tcPr>
            <w:tcW w:w="1701" w:type="dxa"/>
          </w:tcPr>
          <w:p w14:paraId="3DDCBAA4" w14:textId="4F255E02" w:rsidR="00803200" w:rsidRPr="00B46A91" w:rsidRDefault="00803200" w:rsidP="00B46A91">
            <w:pPr>
              <w:pStyle w:val="SubTitleBold"/>
              <w:keepNext w:val="0"/>
              <w:spacing w:after="120" w:line="240" w:lineRule="auto"/>
              <w:ind w:left="0"/>
              <w:jc w:val="left"/>
              <w:rPr>
                <w:b w:val="0"/>
                <w:bCs w:val="0"/>
                <w:sz w:val="17"/>
                <w:szCs w:val="17"/>
              </w:rPr>
            </w:pPr>
            <w:r w:rsidRPr="00B46A91">
              <w:rPr>
                <w:b w:val="0"/>
                <w:bCs w:val="0"/>
                <w:sz w:val="17"/>
                <w:szCs w:val="17"/>
              </w:rPr>
              <w:t>Area of walkable catchment.</w:t>
            </w:r>
          </w:p>
        </w:tc>
        <w:tc>
          <w:tcPr>
            <w:tcW w:w="1493" w:type="dxa"/>
          </w:tcPr>
          <w:p w14:paraId="57F0FE5E" w14:textId="2F3802D2" w:rsidR="00803200" w:rsidRPr="00B46A91" w:rsidRDefault="007E623C" w:rsidP="00B46A91">
            <w:pPr>
              <w:pStyle w:val="SubTitleBold"/>
              <w:keepNext w:val="0"/>
              <w:spacing w:after="120" w:line="240" w:lineRule="auto"/>
              <w:ind w:left="0"/>
              <w:jc w:val="left"/>
              <w:rPr>
                <w:b w:val="0"/>
                <w:bCs w:val="0"/>
                <w:sz w:val="17"/>
                <w:szCs w:val="17"/>
              </w:rPr>
            </w:pPr>
            <w:r>
              <w:rPr>
                <w:b w:val="0"/>
                <w:bCs w:val="0"/>
                <w:sz w:val="17"/>
                <w:szCs w:val="17"/>
              </w:rPr>
              <w:t>Seek to amend</w:t>
            </w:r>
            <w:r w:rsidRPr="00B46A91">
              <w:rPr>
                <w:b w:val="0"/>
                <w:bCs w:val="0"/>
                <w:sz w:val="17"/>
                <w:szCs w:val="17"/>
              </w:rPr>
              <w:t>.</w:t>
            </w:r>
          </w:p>
        </w:tc>
        <w:tc>
          <w:tcPr>
            <w:tcW w:w="3385" w:type="dxa"/>
          </w:tcPr>
          <w:p w14:paraId="535B3F5A" w14:textId="7DA743E5" w:rsidR="00803200" w:rsidRPr="00B46A91" w:rsidRDefault="00803200" w:rsidP="00B46A91">
            <w:pPr>
              <w:pStyle w:val="SubTitleBold"/>
              <w:keepNext w:val="0"/>
              <w:spacing w:after="120" w:line="240" w:lineRule="auto"/>
              <w:ind w:left="0"/>
              <w:jc w:val="left"/>
              <w:rPr>
                <w:b w:val="0"/>
                <w:bCs w:val="0"/>
                <w:sz w:val="17"/>
                <w:szCs w:val="17"/>
              </w:rPr>
            </w:pPr>
            <w:r w:rsidRPr="00B46A91">
              <w:rPr>
                <w:b w:val="0"/>
                <w:bCs w:val="0"/>
                <w:sz w:val="17"/>
                <w:szCs w:val="17"/>
              </w:rPr>
              <w:t>A 10-minute walkable catchment is inconsistent with the policy direction of the NPS-UD and the approach of other Tier 1 local authorities.</w:t>
            </w:r>
          </w:p>
        </w:tc>
        <w:tc>
          <w:tcPr>
            <w:tcW w:w="5262" w:type="dxa"/>
          </w:tcPr>
          <w:p w14:paraId="6E9509B0" w14:textId="179CB017" w:rsidR="00803200" w:rsidRPr="00B46A91" w:rsidRDefault="00803200" w:rsidP="00B46A91">
            <w:pPr>
              <w:pStyle w:val="SubTitleBold"/>
              <w:keepNext w:val="0"/>
              <w:spacing w:after="120" w:line="240" w:lineRule="auto"/>
              <w:ind w:left="0"/>
              <w:jc w:val="left"/>
              <w:rPr>
                <w:b w:val="0"/>
                <w:bCs w:val="0"/>
                <w:sz w:val="17"/>
                <w:szCs w:val="17"/>
              </w:rPr>
            </w:pPr>
            <w:r w:rsidRPr="00B46A91">
              <w:rPr>
                <w:b w:val="0"/>
                <w:bCs w:val="0"/>
                <w:sz w:val="17"/>
                <w:szCs w:val="17"/>
              </w:rPr>
              <w:t>Increase the area of the walkable catchment in and around the Metropolitan Centre Zone to 15 minutes.</w:t>
            </w:r>
          </w:p>
        </w:tc>
      </w:tr>
      <w:tr w:rsidR="00803200" w:rsidRPr="00F26663" w14:paraId="33C451AB" w14:textId="66A1A1C4" w:rsidTr="00803200">
        <w:trPr>
          <w:cantSplit/>
        </w:trPr>
        <w:tc>
          <w:tcPr>
            <w:tcW w:w="2188" w:type="dxa"/>
          </w:tcPr>
          <w:p w14:paraId="30726DDA" w14:textId="395A3DE1" w:rsidR="00803200" w:rsidRPr="00B46A91" w:rsidRDefault="00803200" w:rsidP="00B46A91">
            <w:pPr>
              <w:pStyle w:val="SubTitleBold"/>
              <w:keepNext w:val="0"/>
              <w:spacing w:after="120" w:line="240" w:lineRule="auto"/>
              <w:ind w:left="0"/>
              <w:jc w:val="left"/>
              <w:rPr>
                <w:b w:val="0"/>
                <w:bCs w:val="0"/>
                <w:sz w:val="17"/>
                <w:szCs w:val="17"/>
              </w:rPr>
            </w:pPr>
            <w:r w:rsidRPr="00B46A91">
              <w:rPr>
                <w:b w:val="0"/>
                <w:bCs w:val="0"/>
                <w:sz w:val="17"/>
                <w:szCs w:val="17"/>
              </w:rPr>
              <w:t>Rapid transit stops.</w:t>
            </w:r>
          </w:p>
        </w:tc>
        <w:tc>
          <w:tcPr>
            <w:tcW w:w="1701" w:type="dxa"/>
          </w:tcPr>
          <w:p w14:paraId="30ED1B0A" w14:textId="0B9CEC45" w:rsidR="00803200" w:rsidRPr="00B46A91" w:rsidRDefault="00803200" w:rsidP="00B46A91">
            <w:pPr>
              <w:pStyle w:val="SubTitleBold"/>
              <w:keepNext w:val="0"/>
              <w:spacing w:after="120" w:line="240" w:lineRule="auto"/>
              <w:ind w:left="0"/>
              <w:jc w:val="left"/>
              <w:rPr>
                <w:b w:val="0"/>
                <w:bCs w:val="0"/>
                <w:sz w:val="17"/>
                <w:szCs w:val="17"/>
              </w:rPr>
            </w:pPr>
            <w:r w:rsidRPr="00B46A91">
              <w:rPr>
                <w:b w:val="0"/>
                <w:bCs w:val="0"/>
                <w:sz w:val="17"/>
                <w:szCs w:val="17"/>
              </w:rPr>
              <w:t>Area of walkable catchment.</w:t>
            </w:r>
          </w:p>
        </w:tc>
        <w:tc>
          <w:tcPr>
            <w:tcW w:w="1493" w:type="dxa"/>
          </w:tcPr>
          <w:p w14:paraId="1333161E" w14:textId="796098EF" w:rsidR="00803200" w:rsidRPr="00B46A91" w:rsidRDefault="007E623C" w:rsidP="00B46A91">
            <w:pPr>
              <w:pStyle w:val="SubTitleBold"/>
              <w:keepNext w:val="0"/>
              <w:spacing w:after="120" w:line="240" w:lineRule="auto"/>
              <w:ind w:left="0"/>
              <w:jc w:val="left"/>
              <w:rPr>
                <w:b w:val="0"/>
                <w:bCs w:val="0"/>
                <w:sz w:val="17"/>
                <w:szCs w:val="17"/>
              </w:rPr>
            </w:pPr>
            <w:r>
              <w:rPr>
                <w:b w:val="0"/>
                <w:bCs w:val="0"/>
                <w:sz w:val="17"/>
                <w:szCs w:val="17"/>
              </w:rPr>
              <w:t>Seek to amend</w:t>
            </w:r>
            <w:r w:rsidRPr="00B46A91">
              <w:rPr>
                <w:b w:val="0"/>
                <w:bCs w:val="0"/>
                <w:sz w:val="17"/>
                <w:szCs w:val="17"/>
              </w:rPr>
              <w:t>.</w:t>
            </w:r>
          </w:p>
        </w:tc>
        <w:tc>
          <w:tcPr>
            <w:tcW w:w="3385" w:type="dxa"/>
          </w:tcPr>
          <w:p w14:paraId="29E43B51" w14:textId="39FD3193" w:rsidR="00803200" w:rsidRPr="00B46A91" w:rsidRDefault="00803200" w:rsidP="00B46A91">
            <w:pPr>
              <w:pStyle w:val="SubTitleBold"/>
              <w:keepNext w:val="0"/>
              <w:spacing w:after="120" w:line="240" w:lineRule="auto"/>
              <w:ind w:left="0"/>
              <w:jc w:val="left"/>
              <w:rPr>
                <w:b w:val="0"/>
                <w:bCs w:val="0"/>
                <w:sz w:val="17"/>
                <w:szCs w:val="17"/>
              </w:rPr>
            </w:pPr>
            <w:r w:rsidRPr="00B46A91">
              <w:rPr>
                <w:b w:val="0"/>
                <w:bCs w:val="0"/>
                <w:sz w:val="17"/>
                <w:szCs w:val="17"/>
              </w:rPr>
              <w:t>A 10-minute walkable catchment is inconsistent with the policy direction of the NPS-UD and the approach of other Tier 1 local authorities.</w:t>
            </w:r>
          </w:p>
        </w:tc>
        <w:tc>
          <w:tcPr>
            <w:tcW w:w="5262" w:type="dxa"/>
          </w:tcPr>
          <w:p w14:paraId="61C7CDB8" w14:textId="7D827F93" w:rsidR="00803200" w:rsidRPr="00B46A91" w:rsidRDefault="00803200" w:rsidP="00B46A91">
            <w:pPr>
              <w:pStyle w:val="SubTitleBold"/>
              <w:keepNext w:val="0"/>
              <w:spacing w:after="120" w:line="240" w:lineRule="auto"/>
              <w:ind w:left="0"/>
              <w:jc w:val="left"/>
              <w:rPr>
                <w:b w:val="0"/>
                <w:bCs w:val="0"/>
                <w:sz w:val="17"/>
                <w:szCs w:val="17"/>
              </w:rPr>
            </w:pPr>
            <w:r w:rsidRPr="00B46A91">
              <w:rPr>
                <w:b w:val="0"/>
                <w:bCs w:val="0"/>
                <w:sz w:val="17"/>
                <w:szCs w:val="17"/>
              </w:rPr>
              <w:t xml:space="preserve">Increase the area of the walkable catchment around </w:t>
            </w:r>
            <w:r w:rsidR="000E704B" w:rsidRPr="00B46A91">
              <w:rPr>
                <w:b w:val="0"/>
                <w:bCs w:val="0"/>
                <w:sz w:val="17"/>
                <w:szCs w:val="17"/>
              </w:rPr>
              <w:t xml:space="preserve">rapid transit stops </w:t>
            </w:r>
            <w:r w:rsidRPr="00B46A91">
              <w:rPr>
                <w:b w:val="0"/>
                <w:bCs w:val="0"/>
                <w:sz w:val="17"/>
                <w:szCs w:val="17"/>
              </w:rPr>
              <w:t>to 15 minutes.</w:t>
            </w:r>
          </w:p>
        </w:tc>
      </w:tr>
      <w:tr w:rsidR="00992EA4" w:rsidRPr="00F26663" w14:paraId="73560731" w14:textId="77777777" w:rsidTr="00803200">
        <w:trPr>
          <w:cantSplit/>
        </w:trPr>
        <w:tc>
          <w:tcPr>
            <w:tcW w:w="2188" w:type="dxa"/>
          </w:tcPr>
          <w:p w14:paraId="332E45E1" w14:textId="2110D75A" w:rsidR="00992EA4" w:rsidRPr="00B46A91" w:rsidRDefault="0044581C" w:rsidP="00B46A91">
            <w:pPr>
              <w:pStyle w:val="SubTitleBold"/>
              <w:keepNext w:val="0"/>
              <w:spacing w:after="120" w:line="240" w:lineRule="auto"/>
              <w:ind w:left="0"/>
              <w:jc w:val="left"/>
              <w:rPr>
                <w:b w:val="0"/>
                <w:bCs w:val="0"/>
                <w:sz w:val="17"/>
                <w:szCs w:val="17"/>
              </w:rPr>
            </w:pPr>
            <w:r w:rsidRPr="00B46A91">
              <w:rPr>
                <w:b w:val="0"/>
                <w:bCs w:val="0"/>
                <w:sz w:val="17"/>
                <w:szCs w:val="17"/>
              </w:rPr>
              <w:t xml:space="preserve">Part 3 </w:t>
            </w:r>
            <w:r w:rsidR="00FC1790" w:rsidRPr="006B03BA">
              <w:rPr>
                <w:b w:val="0"/>
                <w:bCs w:val="0"/>
                <w:sz w:val="17"/>
                <w:szCs w:val="17"/>
              </w:rPr>
              <w:t>Area-Specific Matter</w:t>
            </w:r>
            <w:r w:rsidR="00FC1790">
              <w:rPr>
                <w:b w:val="0"/>
                <w:bCs w:val="0"/>
                <w:sz w:val="17"/>
                <w:szCs w:val="17"/>
              </w:rPr>
              <w:t xml:space="preserve">s </w:t>
            </w:r>
            <w:r w:rsidR="00FC1790" w:rsidRPr="00535C95">
              <w:rPr>
                <w:b w:val="0"/>
                <w:bCs w:val="0"/>
                <w:sz w:val="17"/>
                <w:szCs w:val="17"/>
              </w:rPr>
              <w:t xml:space="preserve">– </w:t>
            </w:r>
            <w:r w:rsidRPr="00B46A91">
              <w:rPr>
                <w:b w:val="0"/>
                <w:bCs w:val="0"/>
                <w:sz w:val="17"/>
                <w:szCs w:val="17"/>
              </w:rPr>
              <w:t>Zones – Commercial and mixed use - City Centre Zone.</w:t>
            </w:r>
          </w:p>
        </w:tc>
        <w:tc>
          <w:tcPr>
            <w:tcW w:w="1701" w:type="dxa"/>
          </w:tcPr>
          <w:p w14:paraId="113BA07C" w14:textId="46D43A88" w:rsidR="00992EA4" w:rsidRPr="00B46A91" w:rsidRDefault="0044581C" w:rsidP="00B46A91">
            <w:pPr>
              <w:pStyle w:val="SubTitleBold"/>
              <w:keepNext w:val="0"/>
              <w:spacing w:after="120" w:line="240" w:lineRule="auto"/>
              <w:ind w:left="0"/>
              <w:jc w:val="left"/>
              <w:rPr>
                <w:b w:val="0"/>
                <w:bCs w:val="0"/>
                <w:sz w:val="17"/>
                <w:szCs w:val="17"/>
              </w:rPr>
            </w:pPr>
            <w:r w:rsidRPr="00B46A91">
              <w:rPr>
                <w:b w:val="0"/>
                <w:bCs w:val="0"/>
                <w:sz w:val="17"/>
                <w:szCs w:val="17"/>
              </w:rPr>
              <w:t>Introduction.</w:t>
            </w:r>
          </w:p>
        </w:tc>
        <w:tc>
          <w:tcPr>
            <w:tcW w:w="1493" w:type="dxa"/>
          </w:tcPr>
          <w:p w14:paraId="37885D0F" w14:textId="4BF24C10" w:rsidR="00992EA4" w:rsidRPr="00B46A91" w:rsidRDefault="00C43B3C" w:rsidP="00B46A91">
            <w:pPr>
              <w:pStyle w:val="SubTitleBold"/>
              <w:keepNext w:val="0"/>
              <w:spacing w:after="120" w:line="240" w:lineRule="auto"/>
              <w:ind w:left="0"/>
              <w:jc w:val="left"/>
              <w:rPr>
                <w:b w:val="0"/>
                <w:bCs w:val="0"/>
                <w:sz w:val="17"/>
                <w:szCs w:val="17"/>
              </w:rPr>
            </w:pPr>
            <w:r>
              <w:rPr>
                <w:b w:val="0"/>
                <w:bCs w:val="0"/>
                <w:sz w:val="17"/>
                <w:szCs w:val="17"/>
              </w:rPr>
              <w:t>Seek to amend</w:t>
            </w:r>
            <w:r w:rsidRPr="00B46A91">
              <w:rPr>
                <w:b w:val="0"/>
                <w:bCs w:val="0"/>
                <w:sz w:val="17"/>
                <w:szCs w:val="17"/>
              </w:rPr>
              <w:t>.</w:t>
            </w:r>
          </w:p>
        </w:tc>
        <w:tc>
          <w:tcPr>
            <w:tcW w:w="3385" w:type="dxa"/>
          </w:tcPr>
          <w:p w14:paraId="0566E224" w14:textId="7F0A0EA3" w:rsidR="00992EA4" w:rsidRPr="00B46A91" w:rsidRDefault="0044581C" w:rsidP="00B46A91">
            <w:pPr>
              <w:pStyle w:val="SubTitleBold"/>
              <w:keepNext w:val="0"/>
              <w:spacing w:after="120" w:line="240" w:lineRule="auto"/>
              <w:ind w:left="0"/>
              <w:jc w:val="left"/>
              <w:rPr>
                <w:b w:val="0"/>
                <w:bCs w:val="0"/>
                <w:sz w:val="17"/>
                <w:szCs w:val="17"/>
              </w:rPr>
            </w:pPr>
            <w:r w:rsidRPr="00B46A91">
              <w:rPr>
                <w:b w:val="0"/>
                <w:bCs w:val="0"/>
                <w:sz w:val="17"/>
                <w:szCs w:val="17"/>
              </w:rPr>
              <w:t>Amendment proposed for consistency.</w:t>
            </w:r>
          </w:p>
        </w:tc>
        <w:tc>
          <w:tcPr>
            <w:tcW w:w="5262" w:type="dxa"/>
          </w:tcPr>
          <w:p w14:paraId="4C35DCCC" w14:textId="4BF12816" w:rsidR="00992EA4" w:rsidRPr="00B46A91" w:rsidRDefault="00992EA4" w:rsidP="00B46A91">
            <w:pPr>
              <w:pStyle w:val="SubTitleBold"/>
              <w:spacing w:after="120" w:line="240" w:lineRule="auto"/>
              <w:ind w:left="0"/>
              <w:jc w:val="left"/>
              <w:rPr>
                <w:b w:val="0"/>
                <w:bCs w:val="0"/>
                <w:sz w:val="17"/>
                <w:szCs w:val="17"/>
              </w:rPr>
            </w:pPr>
            <w:r w:rsidRPr="00B46A91">
              <w:rPr>
                <w:b w:val="0"/>
                <w:bCs w:val="0"/>
                <w:sz w:val="17"/>
                <w:szCs w:val="17"/>
              </w:rPr>
              <w:t>The introduction to the City Centre Zone chapter is amended as follows:</w:t>
            </w:r>
          </w:p>
          <w:p w14:paraId="56FE42D0" w14:textId="0762E90B" w:rsidR="00992EA4" w:rsidRPr="00B46A91" w:rsidRDefault="00992EA4" w:rsidP="00B46A91">
            <w:pPr>
              <w:pStyle w:val="SubTitleBold"/>
              <w:keepNext w:val="0"/>
              <w:spacing w:after="120" w:line="240" w:lineRule="auto"/>
              <w:ind w:left="339"/>
              <w:jc w:val="left"/>
              <w:rPr>
                <w:b w:val="0"/>
                <w:bCs w:val="0"/>
                <w:sz w:val="17"/>
                <w:szCs w:val="17"/>
              </w:rPr>
            </w:pPr>
            <w:r w:rsidRPr="00B46A91">
              <w:rPr>
                <w:b w:val="0"/>
                <w:bCs w:val="0"/>
                <w:sz w:val="17"/>
                <w:szCs w:val="17"/>
              </w:rPr>
              <w:t xml:space="preserve">In locations where rapid transit investment has been signalled measures have been included to enable opportunities for more intensive, comprehensive development to occur, particularly in areas within a walkable </w:t>
            </w:r>
            <w:r w:rsidRPr="00B46A91">
              <w:rPr>
                <w:b w:val="0"/>
                <w:bCs w:val="0"/>
                <w:strike/>
                <w:sz w:val="17"/>
                <w:szCs w:val="17"/>
              </w:rPr>
              <w:t>distance</w:t>
            </w:r>
            <w:r w:rsidRPr="00B46A91">
              <w:rPr>
                <w:b w:val="0"/>
                <w:bCs w:val="0"/>
                <w:sz w:val="17"/>
                <w:szCs w:val="17"/>
              </w:rPr>
              <w:t xml:space="preserve"> </w:t>
            </w:r>
            <w:r w:rsidRPr="00B46A91">
              <w:rPr>
                <w:b w:val="0"/>
                <w:bCs w:val="0"/>
                <w:sz w:val="17"/>
                <w:szCs w:val="17"/>
                <w:u w:val="single"/>
              </w:rPr>
              <w:t>catchment</w:t>
            </w:r>
            <w:r w:rsidRPr="00B46A91">
              <w:rPr>
                <w:b w:val="0"/>
                <w:bCs w:val="0"/>
                <w:sz w:val="17"/>
                <w:szCs w:val="17"/>
              </w:rPr>
              <w:t xml:space="preserve"> of planned rapid transit stops.</w:t>
            </w:r>
          </w:p>
        </w:tc>
      </w:tr>
      <w:tr w:rsidR="00803200" w:rsidRPr="00F26663" w14:paraId="41986BA7" w14:textId="77777777" w:rsidTr="00803200">
        <w:trPr>
          <w:cantSplit/>
        </w:trPr>
        <w:tc>
          <w:tcPr>
            <w:tcW w:w="2188" w:type="dxa"/>
          </w:tcPr>
          <w:p w14:paraId="32A64D7F" w14:textId="77777777" w:rsidR="00803200" w:rsidRPr="00B46A91" w:rsidRDefault="00803200" w:rsidP="00B46A91">
            <w:pPr>
              <w:pStyle w:val="SubTitleBold"/>
              <w:keepNext w:val="0"/>
              <w:spacing w:after="120" w:line="240" w:lineRule="auto"/>
              <w:ind w:left="0"/>
              <w:jc w:val="left"/>
              <w:rPr>
                <w:b w:val="0"/>
                <w:bCs w:val="0"/>
                <w:sz w:val="17"/>
                <w:szCs w:val="17"/>
              </w:rPr>
            </w:pPr>
            <w:r w:rsidRPr="00B46A91">
              <w:rPr>
                <w:b w:val="0"/>
                <w:bCs w:val="0"/>
                <w:sz w:val="17"/>
                <w:szCs w:val="17"/>
              </w:rPr>
              <w:lastRenderedPageBreak/>
              <w:t>Part 1 – Introduction and General Provisions – Interpretation - Definitions</w:t>
            </w:r>
          </w:p>
        </w:tc>
        <w:tc>
          <w:tcPr>
            <w:tcW w:w="1701" w:type="dxa"/>
          </w:tcPr>
          <w:p w14:paraId="30F7DAFA" w14:textId="198C3E2F" w:rsidR="00803200" w:rsidRPr="00B46A91" w:rsidRDefault="00803200" w:rsidP="00B46A91">
            <w:pPr>
              <w:pStyle w:val="SubTitleBold"/>
              <w:keepNext w:val="0"/>
              <w:spacing w:after="120" w:line="240" w:lineRule="auto"/>
              <w:ind w:left="0"/>
              <w:jc w:val="left"/>
              <w:rPr>
                <w:b w:val="0"/>
                <w:bCs w:val="0"/>
                <w:sz w:val="17"/>
                <w:szCs w:val="17"/>
              </w:rPr>
            </w:pPr>
            <w:r w:rsidRPr="00B46A91">
              <w:rPr>
                <w:b w:val="0"/>
                <w:bCs w:val="0"/>
                <w:sz w:val="17"/>
                <w:szCs w:val="17"/>
              </w:rPr>
              <w:t>Definitions table.</w:t>
            </w:r>
          </w:p>
        </w:tc>
        <w:tc>
          <w:tcPr>
            <w:tcW w:w="1493" w:type="dxa"/>
          </w:tcPr>
          <w:p w14:paraId="07A00D2B" w14:textId="295CED56" w:rsidR="00803200" w:rsidRPr="00B46A91" w:rsidRDefault="00C43B3C" w:rsidP="00B46A91">
            <w:pPr>
              <w:pStyle w:val="SubTitleBold"/>
              <w:keepNext w:val="0"/>
              <w:spacing w:after="120" w:line="240" w:lineRule="auto"/>
              <w:ind w:left="0"/>
              <w:jc w:val="left"/>
              <w:rPr>
                <w:b w:val="0"/>
                <w:bCs w:val="0"/>
                <w:sz w:val="17"/>
                <w:szCs w:val="17"/>
              </w:rPr>
            </w:pPr>
            <w:r>
              <w:rPr>
                <w:b w:val="0"/>
                <w:bCs w:val="0"/>
                <w:sz w:val="17"/>
                <w:szCs w:val="17"/>
              </w:rPr>
              <w:t>Seek to amend</w:t>
            </w:r>
            <w:r w:rsidRPr="00B46A91">
              <w:rPr>
                <w:b w:val="0"/>
                <w:bCs w:val="0"/>
                <w:sz w:val="17"/>
                <w:szCs w:val="17"/>
              </w:rPr>
              <w:t>.</w:t>
            </w:r>
          </w:p>
        </w:tc>
        <w:tc>
          <w:tcPr>
            <w:tcW w:w="3385" w:type="dxa"/>
          </w:tcPr>
          <w:p w14:paraId="2225D27C" w14:textId="77777777" w:rsidR="00803200" w:rsidRPr="00B46A91" w:rsidRDefault="00803200" w:rsidP="00B46A91">
            <w:pPr>
              <w:pStyle w:val="SubTitleBold"/>
              <w:keepNext w:val="0"/>
              <w:spacing w:after="120" w:line="240" w:lineRule="auto"/>
              <w:ind w:left="0"/>
              <w:jc w:val="left"/>
              <w:rPr>
                <w:b w:val="0"/>
                <w:bCs w:val="0"/>
                <w:sz w:val="17"/>
                <w:szCs w:val="17"/>
              </w:rPr>
            </w:pPr>
            <w:r w:rsidRPr="00B46A91">
              <w:rPr>
                <w:b w:val="0"/>
                <w:bCs w:val="0"/>
                <w:sz w:val="17"/>
                <w:szCs w:val="17"/>
              </w:rPr>
              <w:t>To provide clarity around the walkable catchments that have been used in the PDP.</w:t>
            </w:r>
          </w:p>
          <w:p w14:paraId="2008AACD" w14:textId="77777777" w:rsidR="00803200" w:rsidRPr="00B46A91" w:rsidRDefault="00803200" w:rsidP="00B46A91">
            <w:pPr>
              <w:pStyle w:val="SubTitleBold"/>
              <w:keepNext w:val="0"/>
              <w:spacing w:after="120" w:line="240" w:lineRule="auto"/>
              <w:ind w:left="0"/>
              <w:jc w:val="left"/>
              <w:rPr>
                <w:b w:val="0"/>
                <w:bCs w:val="0"/>
                <w:sz w:val="17"/>
                <w:szCs w:val="17"/>
              </w:rPr>
            </w:pPr>
            <w:r w:rsidRPr="00B46A91">
              <w:rPr>
                <w:b w:val="0"/>
                <w:bCs w:val="0"/>
                <w:sz w:val="17"/>
                <w:szCs w:val="17"/>
              </w:rPr>
              <w:t>To provide flexibility in amending a walkable catchment in the future, should that be required.</w:t>
            </w:r>
          </w:p>
        </w:tc>
        <w:tc>
          <w:tcPr>
            <w:tcW w:w="5262" w:type="dxa"/>
          </w:tcPr>
          <w:p w14:paraId="078D4674" w14:textId="4185A92D" w:rsidR="00803200" w:rsidRPr="00B46A91" w:rsidRDefault="00803200" w:rsidP="00B46A91">
            <w:pPr>
              <w:pStyle w:val="SubTitleBold"/>
              <w:keepNext w:val="0"/>
              <w:spacing w:after="120" w:line="240" w:lineRule="auto"/>
              <w:ind w:left="0"/>
              <w:jc w:val="left"/>
              <w:rPr>
                <w:b w:val="0"/>
                <w:bCs w:val="0"/>
                <w:sz w:val="17"/>
                <w:szCs w:val="17"/>
              </w:rPr>
            </w:pPr>
            <w:r w:rsidRPr="00B46A91">
              <w:rPr>
                <w:b w:val="0"/>
                <w:bCs w:val="0"/>
                <w:sz w:val="17"/>
                <w:szCs w:val="17"/>
              </w:rPr>
              <w:t>A definition of walkable catchment is added to chapter</w:t>
            </w:r>
            <w:r w:rsidR="00757437">
              <w:rPr>
                <w:b w:val="0"/>
                <w:bCs w:val="0"/>
                <w:sz w:val="17"/>
                <w:szCs w:val="17"/>
              </w:rPr>
              <w:t xml:space="preserve"> 1</w:t>
            </w:r>
            <w:r w:rsidRPr="00B46A91">
              <w:rPr>
                <w:b w:val="0"/>
                <w:bCs w:val="0"/>
                <w:sz w:val="17"/>
                <w:szCs w:val="17"/>
              </w:rPr>
              <w:t xml:space="preserve"> of the PDP as follows:</w:t>
            </w:r>
          </w:p>
          <w:p w14:paraId="51D48AA9" w14:textId="47966817" w:rsidR="00803200" w:rsidRPr="00B46A91" w:rsidRDefault="00803200" w:rsidP="00B46A91">
            <w:pPr>
              <w:pStyle w:val="SubTitleBold"/>
              <w:keepNext w:val="0"/>
              <w:spacing w:after="120" w:line="240" w:lineRule="auto"/>
              <w:ind w:left="339"/>
              <w:jc w:val="left"/>
              <w:rPr>
                <w:b w:val="0"/>
                <w:bCs w:val="0"/>
                <w:sz w:val="17"/>
                <w:szCs w:val="17"/>
                <w:u w:val="single"/>
              </w:rPr>
            </w:pPr>
            <w:r w:rsidRPr="00B46A91">
              <w:rPr>
                <w:b w:val="0"/>
                <w:bCs w:val="0"/>
                <w:sz w:val="17"/>
                <w:szCs w:val="17"/>
                <w:u w:val="single"/>
              </w:rPr>
              <w:t xml:space="preserve">WALKABLE CATCHMENT means the area an average person could walk from a specific point to get to multiple destinations.  </w:t>
            </w:r>
          </w:p>
          <w:p w14:paraId="61D849E9" w14:textId="77777777" w:rsidR="00803200" w:rsidRPr="00B46A91" w:rsidRDefault="00803200" w:rsidP="00B46A91">
            <w:pPr>
              <w:pStyle w:val="SubTitleBold"/>
              <w:keepNext w:val="0"/>
              <w:spacing w:after="120" w:line="240" w:lineRule="auto"/>
              <w:ind w:left="339"/>
              <w:jc w:val="left"/>
              <w:rPr>
                <w:b w:val="0"/>
                <w:bCs w:val="0"/>
                <w:sz w:val="17"/>
                <w:szCs w:val="17"/>
                <w:u w:val="single"/>
              </w:rPr>
            </w:pPr>
            <w:r w:rsidRPr="00B46A91">
              <w:rPr>
                <w:b w:val="0"/>
                <w:bCs w:val="0"/>
                <w:sz w:val="17"/>
                <w:szCs w:val="17"/>
                <w:u w:val="single"/>
              </w:rPr>
              <w:t>The City Centre Zone uses a 15-minute walkable catchment.  Walkable catchments around Metropolitan Centre zones and existing and planned rapid transit stops are also 15 minutes.</w:t>
            </w:r>
          </w:p>
        </w:tc>
      </w:tr>
      <w:tr w:rsidR="00371689" w:rsidRPr="00F26663" w14:paraId="6E9A16B8" w14:textId="77777777" w:rsidTr="002434F8">
        <w:trPr>
          <w:cantSplit/>
        </w:trPr>
        <w:tc>
          <w:tcPr>
            <w:tcW w:w="14029" w:type="dxa"/>
            <w:gridSpan w:val="5"/>
            <w:shd w:val="clear" w:color="auto" w:fill="F2F2F2" w:themeFill="background1" w:themeFillShade="F2"/>
          </w:tcPr>
          <w:p w14:paraId="01106FB5" w14:textId="6A44355A" w:rsidR="00371689" w:rsidRPr="00B46A91" w:rsidRDefault="00371689" w:rsidP="00371689">
            <w:pPr>
              <w:pStyle w:val="SubTitleBold"/>
              <w:keepNext w:val="0"/>
              <w:spacing w:before="60" w:after="60" w:line="240" w:lineRule="auto"/>
              <w:ind w:left="0"/>
              <w:jc w:val="left"/>
              <w:rPr>
                <w:b w:val="0"/>
                <w:bCs w:val="0"/>
                <w:sz w:val="17"/>
                <w:szCs w:val="17"/>
              </w:rPr>
            </w:pPr>
            <w:r w:rsidRPr="00371689">
              <w:rPr>
                <w:b w:val="0"/>
                <w:bCs w:val="0"/>
                <w:sz w:val="17"/>
                <w:szCs w:val="17"/>
                <w:u w:val="single"/>
              </w:rPr>
              <w:t>Johnsonville Rail Line</w:t>
            </w:r>
          </w:p>
        </w:tc>
      </w:tr>
      <w:tr w:rsidR="00803200" w:rsidRPr="00F26663" w14:paraId="0CBEB321" w14:textId="77777777" w:rsidTr="00803200">
        <w:trPr>
          <w:cantSplit/>
        </w:trPr>
        <w:tc>
          <w:tcPr>
            <w:tcW w:w="2188" w:type="dxa"/>
          </w:tcPr>
          <w:p w14:paraId="1165C5A3" w14:textId="19064BBD" w:rsidR="00803200" w:rsidRPr="00B46A91" w:rsidRDefault="00A8055F" w:rsidP="00B46A91">
            <w:pPr>
              <w:pStyle w:val="SubTitleBold"/>
              <w:keepNext w:val="0"/>
              <w:spacing w:after="120" w:line="240" w:lineRule="auto"/>
              <w:ind w:left="0"/>
              <w:jc w:val="left"/>
              <w:rPr>
                <w:b w:val="0"/>
                <w:bCs w:val="0"/>
                <w:sz w:val="17"/>
                <w:szCs w:val="17"/>
              </w:rPr>
            </w:pPr>
            <w:r>
              <w:rPr>
                <w:b w:val="0"/>
                <w:bCs w:val="0"/>
                <w:sz w:val="17"/>
                <w:szCs w:val="17"/>
              </w:rPr>
              <w:t>N/A.</w:t>
            </w:r>
          </w:p>
        </w:tc>
        <w:tc>
          <w:tcPr>
            <w:tcW w:w="1701" w:type="dxa"/>
          </w:tcPr>
          <w:p w14:paraId="085BA7BB" w14:textId="15830369" w:rsidR="00803200" w:rsidRPr="00B46A91" w:rsidRDefault="00803200" w:rsidP="00B46A91">
            <w:pPr>
              <w:pStyle w:val="SubTitleBold"/>
              <w:keepNext w:val="0"/>
              <w:spacing w:after="120" w:line="240" w:lineRule="auto"/>
              <w:ind w:left="0"/>
              <w:jc w:val="left"/>
              <w:rPr>
                <w:b w:val="0"/>
                <w:bCs w:val="0"/>
                <w:sz w:val="17"/>
                <w:szCs w:val="17"/>
              </w:rPr>
            </w:pPr>
            <w:r w:rsidRPr="00B46A91">
              <w:rPr>
                <w:b w:val="0"/>
                <w:bCs w:val="0"/>
                <w:sz w:val="17"/>
                <w:szCs w:val="17"/>
              </w:rPr>
              <w:t>Johnsonville Rail Line is not designated a Rapid transit service.</w:t>
            </w:r>
          </w:p>
        </w:tc>
        <w:tc>
          <w:tcPr>
            <w:tcW w:w="1493" w:type="dxa"/>
          </w:tcPr>
          <w:p w14:paraId="3F3E562C" w14:textId="206D6273" w:rsidR="00803200" w:rsidRPr="00B46A91" w:rsidRDefault="00803200" w:rsidP="00B46A91">
            <w:pPr>
              <w:pStyle w:val="SubTitleBold"/>
              <w:keepNext w:val="0"/>
              <w:spacing w:after="120" w:line="240" w:lineRule="auto"/>
              <w:ind w:left="0"/>
              <w:jc w:val="left"/>
              <w:rPr>
                <w:b w:val="0"/>
                <w:bCs w:val="0"/>
                <w:sz w:val="17"/>
                <w:szCs w:val="17"/>
              </w:rPr>
            </w:pPr>
            <w:r w:rsidRPr="00B46A91">
              <w:rPr>
                <w:b w:val="0"/>
                <w:bCs w:val="0"/>
                <w:sz w:val="17"/>
                <w:szCs w:val="17"/>
              </w:rPr>
              <w:t>Oppose.</w:t>
            </w:r>
          </w:p>
        </w:tc>
        <w:tc>
          <w:tcPr>
            <w:tcW w:w="3385" w:type="dxa"/>
          </w:tcPr>
          <w:p w14:paraId="557CBA63" w14:textId="07135367" w:rsidR="00803200" w:rsidRPr="00B46A91" w:rsidRDefault="006B2140" w:rsidP="00B46A91">
            <w:pPr>
              <w:pStyle w:val="SubTitleBold"/>
              <w:keepNext w:val="0"/>
              <w:spacing w:after="120" w:line="240" w:lineRule="auto"/>
              <w:ind w:left="0"/>
              <w:jc w:val="left"/>
              <w:rPr>
                <w:b w:val="0"/>
                <w:bCs w:val="0"/>
                <w:sz w:val="17"/>
                <w:szCs w:val="17"/>
              </w:rPr>
            </w:pPr>
            <w:r>
              <w:rPr>
                <w:b w:val="0"/>
                <w:bCs w:val="0"/>
                <w:sz w:val="17"/>
                <w:szCs w:val="17"/>
              </w:rPr>
              <w:t xml:space="preserve">As set out in this submission, </w:t>
            </w:r>
            <w:r w:rsidR="0049741A">
              <w:rPr>
                <w:b w:val="0"/>
                <w:bCs w:val="0"/>
                <w:sz w:val="17"/>
                <w:szCs w:val="17"/>
              </w:rPr>
              <w:t>Johnsonville Rail Line meets the definition of rapid transit in the NPS-UD.</w:t>
            </w:r>
          </w:p>
        </w:tc>
        <w:tc>
          <w:tcPr>
            <w:tcW w:w="5262" w:type="dxa"/>
          </w:tcPr>
          <w:p w14:paraId="2D075117" w14:textId="159E4591" w:rsidR="00803200" w:rsidRPr="00B46A91" w:rsidRDefault="00803200" w:rsidP="00B46A91">
            <w:pPr>
              <w:pStyle w:val="SubTitleBold"/>
              <w:keepNext w:val="0"/>
              <w:spacing w:after="120" w:line="240" w:lineRule="auto"/>
              <w:ind w:left="0"/>
              <w:jc w:val="left"/>
              <w:rPr>
                <w:b w:val="0"/>
                <w:bCs w:val="0"/>
                <w:sz w:val="17"/>
                <w:szCs w:val="17"/>
              </w:rPr>
            </w:pPr>
            <w:r w:rsidRPr="00B46A91">
              <w:rPr>
                <w:b w:val="0"/>
                <w:bCs w:val="0"/>
                <w:sz w:val="17"/>
                <w:szCs w:val="17"/>
              </w:rPr>
              <w:t>Johnsonville Rail Line is designated a rapid transit service</w:t>
            </w:r>
            <w:r w:rsidR="00F21043">
              <w:rPr>
                <w:b w:val="0"/>
                <w:bCs w:val="0"/>
                <w:sz w:val="17"/>
                <w:szCs w:val="17"/>
              </w:rPr>
              <w:t xml:space="preserve"> in the PDP</w:t>
            </w:r>
            <w:r w:rsidRPr="00B46A91">
              <w:rPr>
                <w:b w:val="0"/>
                <w:bCs w:val="0"/>
                <w:sz w:val="17"/>
                <w:szCs w:val="17"/>
              </w:rPr>
              <w:t>.</w:t>
            </w:r>
          </w:p>
        </w:tc>
      </w:tr>
      <w:tr w:rsidR="00803200" w:rsidRPr="00F26663" w14:paraId="767E0FB0" w14:textId="77777777" w:rsidTr="00803200">
        <w:trPr>
          <w:cantSplit/>
        </w:trPr>
        <w:tc>
          <w:tcPr>
            <w:tcW w:w="2188" w:type="dxa"/>
          </w:tcPr>
          <w:p w14:paraId="271207E8" w14:textId="7E6C1EC7" w:rsidR="00B46A91" w:rsidRPr="00B46A91" w:rsidRDefault="00B46A91" w:rsidP="00B46A91">
            <w:pPr>
              <w:pStyle w:val="SubTitleBold"/>
              <w:keepNext w:val="0"/>
              <w:spacing w:after="120" w:line="240" w:lineRule="auto"/>
              <w:ind w:left="0"/>
              <w:jc w:val="left"/>
              <w:rPr>
                <w:sz w:val="17"/>
                <w:szCs w:val="17"/>
              </w:rPr>
            </w:pPr>
            <w:r w:rsidRPr="00535C95">
              <w:rPr>
                <w:b w:val="0"/>
                <w:bCs w:val="0"/>
                <w:sz w:val="17"/>
                <w:szCs w:val="17"/>
              </w:rPr>
              <w:t xml:space="preserve">Part 3 </w:t>
            </w:r>
            <w:r w:rsidR="006B03BA" w:rsidRPr="006B03BA">
              <w:rPr>
                <w:b w:val="0"/>
                <w:bCs w:val="0"/>
                <w:sz w:val="17"/>
                <w:szCs w:val="17"/>
              </w:rPr>
              <w:t>Area-Specific Matter</w:t>
            </w:r>
            <w:r w:rsidR="006B03BA">
              <w:rPr>
                <w:b w:val="0"/>
                <w:bCs w:val="0"/>
                <w:sz w:val="17"/>
                <w:szCs w:val="17"/>
              </w:rPr>
              <w:t xml:space="preserve">s </w:t>
            </w:r>
            <w:r w:rsidR="006B03BA" w:rsidRPr="00535C95">
              <w:rPr>
                <w:b w:val="0"/>
                <w:bCs w:val="0"/>
                <w:sz w:val="17"/>
                <w:szCs w:val="17"/>
              </w:rPr>
              <w:t xml:space="preserve">– </w:t>
            </w:r>
            <w:r w:rsidRPr="00535C95">
              <w:rPr>
                <w:b w:val="0"/>
                <w:bCs w:val="0"/>
                <w:sz w:val="17"/>
                <w:szCs w:val="17"/>
              </w:rPr>
              <w:t>Zones</w:t>
            </w:r>
            <w:r w:rsidR="00603EA7" w:rsidRPr="00535C95">
              <w:rPr>
                <w:b w:val="0"/>
                <w:bCs w:val="0"/>
                <w:sz w:val="17"/>
                <w:szCs w:val="17"/>
              </w:rPr>
              <w:t xml:space="preserve"> – Residential – High Density Residential Zone</w:t>
            </w:r>
          </w:p>
        </w:tc>
        <w:tc>
          <w:tcPr>
            <w:tcW w:w="1701" w:type="dxa"/>
          </w:tcPr>
          <w:p w14:paraId="79C60E11" w14:textId="3583A265" w:rsidR="00803200" w:rsidRPr="00B46A91" w:rsidRDefault="000235FF" w:rsidP="00B46A91">
            <w:pPr>
              <w:pStyle w:val="SubTitleBold"/>
              <w:spacing w:after="120" w:line="240" w:lineRule="auto"/>
              <w:ind w:left="0"/>
              <w:jc w:val="left"/>
              <w:rPr>
                <w:b w:val="0"/>
                <w:bCs w:val="0"/>
                <w:sz w:val="17"/>
                <w:szCs w:val="17"/>
              </w:rPr>
            </w:pPr>
            <w:r>
              <w:rPr>
                <w:b w:val="0"/>
                <w:bCs w:val="0"/>
                <w:sz w:val="17"/>
                <w:szCs w:val="17"/>
              </w:rPr>
              <w:t xml:space="preserve">Extent of </w:t>
            </w:r>
            <w:proofErr w:type="gramStart"/>
            <w:r w:rsidR="00234AB5" w:rsidRPr="00234AB5">
              <w:rPr>
                <w:b w:val="0"/>
                <w:bCs w:val="0"/>
                <w:sz w:val="17"/>
                <w:szCs w:val="17"/>
              </w:rPr>
              <w:t>High Density</w:t>
            </w:r>
            <w:proofErr w:type="gramEnd"/>
            <w:r w:rsidR="00234AB5" w:rsidRPr="00234AB5">
              <w:rPr>
                <w:b w:val="0"/>
                <w:bCs w:val="0"/>
                <w:sz w:val="17"/>
                <w:szCs w:val="17"/>
              </w:rPr>
              <w:t xml:space="preserve"> Residential Zone</w:t>
            </w:r>
            <w:r w:rsidR="00FA6EF5">
              <w:rPr>
                <w:b w:val="0"/>
                <w:bCs w:val="0"/>
                <w:sz w:val="17"/>
                <w:szCs w:val="17"/>
              </w:rPr>
              <w:t>.</w:t>
            </w:r>
          </w:p>
        </w:tc>
        <w:tc>
          <w:tcPr>
            <w:tcW w:w="1493" w:type="dxa"/>
          </w:tcPr>
          <w:p w14:paraId="3E16AA9F" w14:textId="2B69EC31" w:rsidR="00803200" w:rsidRPr="00B46A91" w:rsidRDefault="00C43B3C" w:rsidP="00B46A91">
            <w:pPr>
              <w:pStyle w:val="SubTitleBold"/>
              <w:keepNext w:val="0"/>
              <w:spacing w:after="120" w:line="240" w:lineRule="auto"/>
              <w:ind w:left="0"/>
              <w:jc w:val="left"/>
              <w:rPr>
                <w:b w:val="0"/>
                <w:bCs w:val="0"/>
                <w:sz w:val="17"/>
                <w:szCs w:val="17"/>
              </w:rPr>
            </w:pPr>
            <w:r>
              <w:rPr>
                <w:b w:val="0"/>
                <w:bCs w:val="0"/>
                <w:sz w:val="17"/>
                <w:szCs w:val="17"/>
              </w:rPr>
              <w:t>Seek to amend</w:t>
            </w:r>
            <w:r w:rsidRPr="00B46A91">
              <w:rPr>
                <w:b w:val="0"/>
                <w:bCs w:val="0"/>
                <w:sz w:val="17"/>
                <w:szCs w:val="17"/>
              </w:rPr>
              <w:t>.</w:t>
            </w:r>
          </w:p>
        </w:tc>
        <w:tc>
          <w:tcPr>
            <w:tcW w:w="3385" w:type="dxa"/>
          </w:tcPr>
          <w:p w14:paraId="069C66C3" w14:textId="3486279B" w:rsidR="00803200" w:rsidRPr="00B46A91" w:rsidRDefault="00603EA7" w:rsidP="00B46A91">
            <w:pPr>
              <w:pStyle w:val="SubTitleBold"/>
              <w:keepNext w:val="0"/>
              <w:spacing w:after="120" w:line="240" w:lineRule="auto"/>
              <w:ind w:left="0"/>
              <w:jc w:val="left"/>
              <w:rPr>
                <w:b w:val="0"/>
                <w:bCs w:val="0"/>
                <w:sz w:val="17"/>
                <w:szCs w:val="17"/>
              </w:rPr>
            </w:pPr>
            <w:r w:rsidRPr="00B46A91">
              <w:rPr>
                <w:b w:val="0"/>
                <w:bCs w:val="0"/>
                <w:sz w:val="17"/>
                <w:szCs w:val="17"/>
              </w:rPr>
              <w:t>Building heights of at least six storeys are enabled within a walkable catchment of the Johnsonville Rail line in accordance with the requirements of Policy 3(c) of the NPS-UD.</w:t>
            </w:r>
          </w:p>
        </w:tc>
        <w:tc>
          <w:tcPr>
            <w:tcW w:w="5262" w:type="dxa"/>
          </w:tcPr>
          <w:p w14:paraId="391F07E1" w14:textId="0DBC0554" w:rsidR="00603EA7" w:rsidRPr="00603EA7" w:rsidRDefault="00603EA7" w:rsidP="00603EA7">
            <w:pPr>
              <w:pStyle w:val="SubTitleBold"/>
              <w:keepNext w:val="0"/>
              <w:spacing w:after="120" w:line="240" w:lineRule="auto"/>
              <w:ind w:left="0"/>
              <w:jc w:val="left"/>
              <w:rPr>
                <w:b w:val="0"/>
                <w:bCs w:val="0"/>
                <w:sz w:val="17"/>
                <w:szCs w:val="17"/>
              </w:rPr>
            </w:pPr>
            <w:r>
              <w:rPr>
                <w:b w:val="0"/>
                <w:bCs w:val="0"/>
                <w:sz w:val="17"/>
                <w:szCs w:val="17"/>
              </w:rPr>
              <w:t xml:space="preserve">The </w:t>
            </w:r>
            <w:proofErr w:type="gramStart"/>
            <w:r w:rsidRPr="00603EA7">
              <w:rPr>
                <w:b w:val="0"/>
                <w:bCs w:val="0"/>
                <w:sz w:val="17"/>
                <w:szCs w:val="17"/>
              </w:rPr>
              <w:t>High Density</w:t>
            </w:r>
            <w:proofErr w:type="gramEnd"/>
            <w:r w:rsidRPr="00603EA7">
              <w:rPr>
                <w:b w:val="0"/>
                <w:bCs w:val="0"/>
                <w:sz w:val="17"/>
                <w:szCs w:val="17"/>
              </w:rPr>
              <w:t xml:space="preserve"> Residential Zone</w:t>
            </w:r>
            <w:r>
              <w:rPr>
                <w:b w:val="0"/>
                <w:bCs w:val="0"/>
                <w:sz w:val="17"/>
                <w:szCs w:val="17"/>
              </w:rPr>
              <w:t xml:space="preserve"> is applied to all </w:t>
            </w:r>
            <w:r w:rsidR="00E31160">
              <w:rPr>
                <w:b w:val="0"/>
                <w:bCs w:val="0"/>
                <w:sz w:val="17"/>
                <w:szCs w:val="17"/>
              </w:rPr>
              <w:t xml:space="preserve">residential </w:t>
            </w:r>
            <w:r>
              <w:rPr>
                <w:b w:val="0"/>
                <w:bCs w:val="0"/>
                <w:sz w:val="17"/>
                <w:szCs w:val="17"/>
              </w:rPr>
              <w:t xml:space="preserve">sites within a 15-minute walkable catchment of the rapid transit stops on the </w:t>
            </w:r>
            <w:r w:rsidRPr="00603EA7">
              <w:rPr>
                <w:b w:val="0"/>
                <w:bCs w:val="0"/>
                <w:sz w:val="17"/>
                <w:szCs w:val="17"/>
              </w:rPr>
              <w:t>Johnsonville Rail line</w:t>
            </w:r>
            <w:r w:rsidR="00AB5382">
              <w:rPr>
                <w:b w:val="0"/>
                <w:bCs w:val="0"/>
                <w:sz w:val="17"/>
                <w:szCs w:val="17"/>
              </w:rPr>
              <w:t xml:space="preserve"> except where a justifiable qualifying matter applies</w:t>
            </w:r>
            <w:r>
              <w:rPr>
                <w:b w:val="0"/>
                <w:bCs w:val="0"/>
                <w:sz w:val="17"/>
                <w:szCs w:val="17"/>
              </w:rPr>
              <w:t>.</w:t>
            </w:r>
          </w:p>
        </w:tc>
      </w:tr>
      <w:tr w:rsidR="00620F0C" w:rsidRPr="00F26663" w14:paraId="0F87BFEA" w14:textId="77777777" w:rsidTr="00803200">
        <w:trPr>
          <w:cantSplit/>
        </w:trPr>
        <w:tc>
          <w:tcPr>
            <w:tcW w:w="2188" w:type="dxa"/>
          </w:tcPr>
          <w:p w14:paraId="37572DD6" w14:textId="77777777" w:rsidR="00620F0C" w:rsidRPr="00B46A91" w:rsidRDefault="00620F0C" w:rsidP="00B46A91">
            <w:pPr>
              <w:pStyle w:val="SubTitleBold"/>
              <w:keepNext w:val="0"/>
              <w:spacing w:after="120" w:line="240" w:lineRule="auto"/>
              <w:ind w:left="0"/>
              <w:jc w:val="left"/>
              <w:rPr>
                <w:b w:val="0"/>
                <w:bCs w:val="0"/>
                <w:sz w:val="17"/>
                <w:szCs w:val="17"/>
              </w:rPr>
            </w:pPr>
            <w:r w:rsidRPr="00B46A91">
              <w:rPr>
                <w:b w:val="0"/>
                <w:bCs w:val="0"/>
                <w:sz w:val="17"/>
                <w:szCs w:val="17"/>
              </w:rPr>
              <w:lastRenderedPageBreak/>
              <w:t>Part 1 – Introduction and General Provisions – Interpretation - Definitions</w:t>
            </w:r>
          </w:p>
        </w:tc>
        <w:tc>
          <w:tcPr>
            <w:tcW w:w="1701" w:type="dxa"/>
          </w:tcPr>
          <w:p w14:paraId="26863F6A" w14:textId="4F7EBAA9" w:rsidR="00620F0C" w:rsidRPr="00B46A91" w:rsidRDefault="00620F0C" w:rsidP="00B46A91">
            <w:pPr>
              <w:pStyle w:val="SubTitleBold"/>
              <w:keepNext w:val="0"/>
              <w:spacing w:after="120" w:line="240" w:lineRule="auto"/>
              <w:ind w:left="0"/>
              <w:jc w:val="left"/>
              <w:rPr>
                <w:b w:val="0"/>
                <w:bCs w:val="0"/>
                <w:sz w:val="17"/>
                <w:szCs w:val="17"/>
              </w:rPr>
            </w:pPr>
            <w:r w:rsidRPr="00B46A91">
              <w:rPr>
                <w:b w:val="0"/>
                <w:bCs w:val="0"/>
                <w:sz w:val="17"/>
                <w:szCs w:val="17"/>
              </w:rPr>
              <w:t>Definitions table</w:t>
            </w:r>
            <w:r>
              <w:rPr>
                <w:b w:val="0"/>
                <w:bCs w:val="0"/>
                <w:sz w:val="17"/>
                <w:szCs w:val="17"/>
              </w:rPr>
              <w:t xml:space="preserve">, definition of </w:t>
            </w:r>
            <w:r w:rsidRPr="00B46A91">
              <w:rPr>
                <w:b w:val="0"/>
                <w:bCs w:val="0"/>
                <w:sz w:val="17"/>
                <w:szCs w:val="17"/>
              </w:rPr>
              <w:t>RAPID TRANSIT STOP.</w:t>
            </w:r>
          </w:p>
        </w:tc>
        <w:tc>
          <w:tcPr>
            <w:tcW w:w="1493" w:type="dxa"/>
          </w:tcPr>
          <w:p w14:paraId="1112DC69" w14:textId="1996EDCB" w:rsidR="00620F0C" w:rsidRPr="00B46A91" w:rsidRDefault="00C43B3C" w:rsidP="00B46A91">
            <w:pPr>
              <w:pStyle w:val="SubTitleBold"/>
              <w:keepNext w:val="0"/>
              <w:spacing w:after="120" w:line="240" w:lineRule="auto"/>
              <w:ind w:left="0"/>
              <w:jc w:val="left"/>
              <w:rPr>
                <w:b w:val="0"/>
                <w:bCs w:val="0"/>
                <w:sz w:val="17"/>
                <w:szCs w:val="17"/>
              </w:rPr>
            </w:pPr>
            <w:r>
              <w:rPr>
                <w:b w:val="0"/>
                <w:bCs w:val="0"/>
                <w:sz w:val="17"/>
                <w:szCs w:val="17"/>
              </w:rPr>
              <w:t>Seek to amend</w:t>
            </w:r>
            <w:r w:rsidRPr="00B46A91">
              <w:rPr>
                <w:b w:val="0"/>
                <w:bCs w:val="0"/>
                <w:sz w:val="17"/>
                <w:szCs w:val="17"/>
              </w:rPr>
              <w:t>.</w:t>
            </w:r>
          </w:p>
        </w:tc>
        <w:tc>
          <w:tcPr>
            <w:tcW w:w="3385" w:type="dxa"/>
          </w:tcPr>
          <w:p w14:paraId="1B9E5C86" w14:textId="3179C242" w:rsidR="00620F0C" w:rsidRPr="00B46A91" w:rsidRDefault="005218A3" w:rsidP="00B46A91">
            <w:pPr>
              <w:pStyle w:val="SubTitleBold"/>
              <w:keepNext w:val="0"/>
              <w:spacing w:after="120" w:line="240" w:lineRule="auto"/>
              <w:ind w:left="0"/>
              <w:jc w:val="left"/>
              <w:rPr>
                <w:b w:val="0"/>
                <w:bCs w:val="0"/>
                <w:sz w:val="17"/>
                <w:szCs w:val="17"/>
              </w:rPr>
            </w:pPr>
            <w:r>
              <w:rPr>
                <w:b w:val="0"/>
                <w:bCs w:val="0"/>
                <w:sz w:val="17"/>
                <w:szCs w:val="17"/>
              </w:rPr>
              <w:t xml:space="preserve">The definition “rapid transit </w:t>
            </w:r>
            <w:proofErr w:type="gramStart"/>
            <w:r>
              <w:rPr>
                <w:b w:val="0"/>
                <w:bCs w:val="0"/>
                <w:sz w:val="17"/>
                <w:szCs w:val="17"/>
              </w:rPr>
              <w:t>stop</w:t>
            </w:r>
            <w:proofErr w:type="gramEnd"/>
            <w:r>
              <w:rPr>
                <w:b w:val="0"/>
                <w:bCs w:val="0"/>
                <w:sz w:val="17"/>
                <w:szCs w:val="17"/>
              </w:rPr>
              <w:t>” should be amended t</w:t>
            </w:r>
            <w:r w:rsidR="00620F0C" w:rsidRPr="00B46A91">
              <w:rPr>
                <w:b w:val="0"/>
                <w:bCs w:val="0"/>
                <w:sz w:val="17"/>
                <w:szCs w:val="17"/>
              </w:rPr>
              <w:t>o provide clarity around the rapid transit stops that have been identified in the PDP.</w:t>
            </w:r>
          </w:p>
        </w:tc>
        <w:tc>
          <w:tcPr>
            <w:tcW w:w="5262" w:type="dxa"/>
          </w:tcPr>
          <w:p w14:paraId="255032E2" w14:textId="77777777" w:rsidR="00620F0C" w:rsidRPr="00B46A91" w:rsidRDefault="00620F0C" w:rsidP="00B46A91">
            <w:pPr>
              <w:pStyle w:val="SubTitleBold"/>
              <w:keepNext w:val="0"/>
              <w:spacing w:after="120" w:line="240" w:lineRule="auto"/>
              <w:ind w:left="0"/>
              <w:jc w:val="left"/>
              <w:rPr>
                <w:b w:val="0"/>
                <w:bCs w:val="0"/>
                <w:sz w:val="17"/>
                <w:szCs w:val="17"/>
              </w:rPr>
            </w:pPr>
            <w:r w:rsidRPr="00B46A91">
              <w:rPr>
                <w:b w:val="0"/>
                <w:bCs w:val="0"/>
                <w:sz w:val="17"/>
                <w:szCs w:val="17"/>
              </w:rPr>
              <w:t>The definition of rapid transit stop</w:t>
            </w:r>
            <w:r>
              <w:rPr>
                <w:b w:val="0"/>
                <w:bCs w:val="0"/>
                <w:sz w:val="17"/>
                <w:szCs w:val="17"/>
              </w:rPr>
              <w:t xml:space="preserve"> in the PDP is</w:t>
            </w:r>
            <w:r w:rsidRPr="00B46A91">
              <w:rPr>
                <w:b w:val="0"/>
                <w:bCs w:val="0"/>
                <w:sz w:val="17"/>
                <w:szCs w:val="17"/>
              </w:rPr>
              <w:t xml:space="preserve"> amended as follows:</w:t>
            </w:r>
          </w:p>
          <w:p w14:paraId="10BCD668" w14:textId="77777777" w:rsidR="00620F0C" w:rsidRPr="00B46A91" w:rsidRDefault="00620F0C" w:rsidP="00D05079">
            <w:pPr>
              <w:pStyle w:val="SubTitleBold"/>
              <w:spacing w:line="240" w:lineRule="auto"/>
              <w:ind w:left="339"/>
              <w:jc w:val="left"/>
              <w:rPr>
                <w:b w:val="0"/>
                <w:bCs w:val="0"/>
                <w:sz w:val="17"/>
                <w:szCs w:val="17"/>
              </w:rPr>
            </w:pPr>
            <w:r w:rsidRPr="00B46A91">
              <w:rPr>
                <w:b w:val="0"/>
                <w:bCs w:val="0"/>
                <w:sz w:val="17"/>
                <w:szCs w:val="17"/>
              </w:rPr>
              <w:t>RAPID TRANSIT STOP means a place where people can enter or exit a rapid transit service, whether existing or planned.</w:t>
            </w:r>
          </w:p>
          <w:p w14:paraId="377A0024" w14:textId="77777777" w:rsidR="00620F0C" w:rsidRPr="00B46A91" w:rsidRDefault="00620F0C" w:rsidP="00B46A91">
            <w:pPr>
              <w:pStyle w:val="SubTitleBold"/>
              <w:spacing w:after="120" w:line="240" w:lineRule="auto"/>
              <w:ind w:left="339"/>
              <w:jc w:val="left"/>
              <w:rPr>
                <w:b w:val="0"/>
                <w:bCs w:val="0"/>
                <w:sz w:val="17"/>
                <w:szCs w:val="17"/>
                <w:u w:val="single"/>
              </w:rPr>
            </w:pPr>
            <w:r w:rsidRPr="00B46A91">
              <w:rPr>
                <w:b w:val="0"/>
                <w:bCs w:val="0"/>
                <w:sz w:val="17"/>
                <w:szCs w:val="17"/>
                <w:u w:val="single"/>
              </w:rPr>
              <w:t>The following stations on the Kapiti Line are rapid transit stops:</w:t>
            </w:r>
          </w:p>
          <w:p w14:paraId="5E642CEF" w14:textId="77777777" w:rsidR="00620F0C" w:rsidRPr="00B46A91" w:rsidRDefault="00620F0C" w:rsidP="00E83557">
            <w:pPr>
              <w:pStyle w:val="SubTitleBold"/>
              <w:spacing w:after="0" w:line="240" w:lineRule="auto"/>
              <w:ind w:left="339"/>
              <w:jc w:val="left"/>
              <w:rPr>
                <w:b w:val="0"/>
                <w:bCs w:val="0"/>
                <w:sz w:val="17"/>
                <w:szCs w:val="17"/>
                <w:u w:val="single"/>
              </w:rPr>
            </w:pPr>
            <w:r w:rsidRPr="00B46A91">
              <w:rPr>
                <w:b w:val="0"/>
                <w:bCs w:val="0"/>
                <w:sz w:val="17"/>
                <w:szCs w:val="17"/>
                <w:u w:val="single"/>
              </w:rPr>
              <w:t>• Wellington Station</w:t>
            </w:r>
          </w:p>
          <w:p w14:paraId="441CAE15" w14:textId="77777777" w:rsidR="00620F0C" w:rsidRPr="00B46A91" w:rsidRDefault="00620F0C" w:rsidP="00E83557">
            <w:pPr>
              <w:pStyle w:val="SubTitleBold"/>
              <w:spacing w:after="0" w:line="240" w:lineRule="auto"/>
              <w:ind w:left="339"/>
              <w:jc w:val="left"/>
              <w:rPr>
                <w:b w:val="0"/>
                <w:bCs w:val="0"/>
                <w:sz w:val="17"/>
                <w:szCs w:val="17"/>
                <w:u w:val="single"/>
              </w:rPr>
            </w:pPr>
            <w:r w:rsidRPr="00B46A91">
              <w:rPr>
                <w:b w:val="0"/>
                <w:bCs w:val="0"/>
                <w:sz w:val="17"/>
                <w:szCs w:val="17"/>
                <w:u w:val="single"/>
              </w:rPr>
              <w:t>• Takapu Road Station</w:t>
            </w:r>
          </w:p>
          <w:p w14:paraId="1B4F2CA1" w14:textId="77777777" w:rsidR="00620F0C" w:rsidRPr="00B46A91" w:rsidRDefault="00620F0C" w:rsidP="00E83557">
            <w:pPr>
              <w:pStyle w:val="SubTitleBold"/>
              <w:spacing w:after="0" w:line="240" w:lineRule="auto"/>
              <w:ind w:left="339"/>
              <w:jc w:val="left"/>
              <w:rPr>
                <w:b w:val="0"/>
                <w:bCs w:val="0"/>
                <w:sz w:val="17"/>
                <w:szCs w:val="17"/>
                <w:u w:val="single"/>
              </w:rPr>
            </w:pPr>
            <w:r w:rsidRPr="00B46A91">
              <w:rPr>
                <w:b w:val="0"/>
                <w:bCs w:val="0"/>
                <w:sz w:val="17"/>
                <w:szCs w:val="17"/>
                <w:u w:val="single"/>
              </w:rPr>
              <w:t>• Redwood Station</w:t>
            </w:r>
          </w:p>
          <w:p w14:paraId="476FDD87" w14:textId="77777777" w:rsidR="00620F0C" w:rsidRPr="00B46A91" w:rsidRDefault="00620F0C" w:rsidP="00E83557">
            <w:pPr>
              <w:pStyle w:val="SubTitleBold"/>
              <w:spacing w:after="0" w:line="240" w:lineRule="auto"/>
              <w:ind w:left="339"/>
              <w:jc w:val="left"/>
              <w:rPr>
                <w:b w:val="0"/>
                <w:bCs w:val="0"/>
                <w:sz w:val="17"/>
                <w:szCs w:val="17"/>
                <w:u w:val="single"/>
              </w:rPr>
            </w:pPr>
            <w:r w:rsidRPr="00B46A91">
              <w:rPr>
                <w:b w:val="0"/>
                <w:bCs w:val="0"/>
                <w:sz w:val="17"/>
                <w:szCs w:val="17"/>
                <w:u w:val="single"/>
              </w:rPr>
              <w:t>• Tawa Station</w:t>
            </w:r>
          </w:p>
          <w:p w14:paraId="299250FF" w14:textId="77777777" w:rsidR="00620F0C" w:rsidRPr="00B46A91" w:rsidRDefault="00620F0C" w:rsidP="00E83557">
            <w:pPr>
              <w:pStyle w:val="SubTitleBold"/>
              <w:spacing w:after="0" w:line="240" w:lineRule="auto"/>
              <w:ind w:left="339"/>
              <w:jc w:val="left"/>
              <w:rPr>
                <w:b w:val="0"/>
                <w:bCs w:val="0"/>
                <w:sz w:val="17"/>
                <w:szCs w:val="17"/>
                <w:u w:val="single"/>
              </w:rPr>
            </w:pPr>
            <w:r w:rsidRPr="00B46A91">
              <w:rPr>
                <w:b w:val="0"/>
                <w:bCs w:val="0"/>
                <w:sz w:val="17"/>
                <w:szCs w:val="17"/>
                <w:u w:val="single"/>
              </w:rPr>
              <w:t>• Linden Station</w:t>
            </w:r>
          </w:p>
          <w:p w14:paraId="6D3A0F04" w14:textId="77777777" w:rsidR="00620F0C" w:rsidRPr="00B46A91" w:rsidRDefault="00620F0C" w:rsidP="00B46A91">
            <w:pPr>
              <w:pStyle w:val="SubTitleBold"/>
              <w:spacing w:line="240" w:lineRule="auto"/>
              <w:ind w:left="339"/>
              <w:jc w:val="left"/>
              <w:rPr>
                <w:b w:val="0"/>
                <w:bCs w:val="0"/>
                <w:sz w:val="17"/>
                <w:szCs w:val="17"/>
                <w:u w:val="single"/>
              </w:rPr>
            </w:pPr>
            <w:r w:rsidRPr="00B46A91">
              <w:rPr>
                <w:b w:val="0"/>
                <w:bCs w:val="0"/>
                <w:sz w:val="17"/>
                <w:szCs w:val="17"/>
                <w:u w:val="single"/>
              </w:rPr>
              <w:t>• Kenepuru Station</w:t>
            </w:r>
            <w:r>
              <w:rPr>
                <w:b w:val="0"/>
                <w:bCs w:val="0"/>
                <w:sz w:val="17"/>
                <w:szCs w:val="17"/>
                <w:u w:val="single"/>
              </w:rPr>
              <w:t>.</w:t>
            </w:r>
          </w:p>
          <w:p w14:paraId="675EF81F" w14:textId="77777777" w:rsidR="00620F0C" w:rsidRPr="00B46A91" w:rsidRDefault="00620F0C" w:rsidP="00B46A91">
            <w:pPr>
              <w:pStyle w:val="SubTitleBold"/>
              <w:spacing w:after="120" w:line="240" w:lineRule="auto"/>
              <w:ind w:left="339"/>
              <w:jc w:val="left"/>
              <w:rPr>
                <w:b w:val="0"/>
                <w:bCs w:val="0"/>
                <w:sz w:val="17"/>
                <w:szCs w:val="17"/>
                <w:u w:val="single"/>
              </w:rPr>
            </w:pPr>
            <w:r w:rsidRPr="00B46A91">
              <w:rPr>
                <w:b w:val="0"/>
                <w:bCs w:val="0"/>
                <w:sz w:val="17"/>
                <w:szCs w:val="17"/>
                <w:u w:val="single"/>
              </w:rPr>
              <w:t>The following stations on the Johnsonville Line are rapid transit stops:</w:t>
            </w:r>
          </w:p>
          <w:p w14:paraId="4161BE37" w14:textId="77777777" w:rsidR="00620F0C" w:rsidRPr="00B46A91" w:rsidRDefault="00620F0C" w:rsidP="00E83557">
            <w:pPr>
              <w:pStyle w:val="SubTitleBold"/>
              <w:spacing w:after="0" w:line="240" w:lineRule="auto"/>
              <w:ind w:left="339"/>
              <w:jc w:val="left"/>
              <w:rPr>
                <w:b w:val="0"/>
                <w:bCs w:val="0"/>
                <w:sz w:val="17"/>
                <w:szCs w:val="17"/>
                <w:u w:val="single"/>
              </w:rPr>
            </w:pPr>
            <w:r w:rsidRPr="00B46A91">
              <w:rPr>
                <w:b w:val="0"/>
                <w:bCs w:val="0"/>
                <w:sz w:val="17"/>
                <w:szCs w:val="17"/>
                <w:u w:val="single"/>
              </w:rPr>
              <w:t>• Crofton Downs Station</w:t>
            </w:r>
          </w:p>
          <w:p w14:paraId="5DCB0E9C" w14:textId="77777777" w:rsidR="00620F0C" w:rsidRPr="00B46A91" w:rsidRDefault="00620F0C" w:rsidP="00E83557">
            <w:pPr>
              <w:pStyle w:val="SubTitleBold"/>
              <w:spacing w:after="0" w:line="240" w:lineRule="auto"/>
              <w:ind w:left="339"/>
              <w:jc w:val="left"/>
              <w:rPr>
                <w:b w:val="0"/>
                <w:bCs w:val="0"/>
                <w:sz w:val="17"/>
                <w:szCs w:val="17"/>
                <w:u w:val="single"/>
              </w:rPr>
            </w:pPr>
            <w:r w:rsidRPr="00B46A91">
              <w:rPr>
                <w:b w:val="0"/>
                <w:bCs w:val="0"/>
                <w:sz w:val="17"/>
                <w:szCs w:val="17"/>
                <w:u w:val="single"/>
              </w:rPr>
              <w:t>• Ngaio Station</w:t>
            </w:r>
          </w:p>
          <w:p w14:paraId="51FC4D37" w14:textId="77777777" w:rsidR="00620F0C" w:rsidRPr="00B46A91" w:rsidRDefault="00620F0C" w:rsidP="00E83557">
            <w:pPr>
              <w:pStyle w:val="SubTitleBold"/>
              <w:spacing w:after="0" w:line="240" w:lineRule="auto"/>
              <w:ind w:left="339"/>
              <w:jc w:val="left"/>
              <w:rPr>
                <w:b w:val="0"/>
                <w:bCs w:val="0"/>
                <w:sz w:val="17"/>
                <w:szCs w:val="17"/>
                <w:u w:val="single"/>
              </w:rPr>
            </w:pPr>
            <w:r w:rsidRPr="00B46A91">
              <w:rPr>
                <w:b w:val="0"/>
                <w:bCs w:val="0"/>
                <w:sz w:val="17"/>
                <w:szCs w:val="17"/>
                <w:u w:val="single"/>
              </w:rPr>
              <w:t>• Awarua Street Station</w:t>
            </w:r>
          </w:p>
          <w:p w14:paraId="572B08F3" w14:textId="77777777" w:rsidR="00620F0C" w:rsidRPr="00B46A91" w:rsidRDefault="00620F0C" w:rsidP="00E83557">
            <w:pPr>
              <w:pStyle w:val="SubTitleBold"/>
              <w:spacing w:after="0" w:line="240" w:lineRule="auto"/>
              <w:ind w:left="339"/>
              <w:jc w:val="left"/>
              <w:rPr>
                <w:b w:val="0"/>
                <w:bCs w:val="0"/>
                <w:sz w:val="17"/>
                <w:szCs w:val="17"/>
                <w:u w:val="single"/>
              </w:rPr>
            </w:pPr>
            <w:r w:rsidRPr="00B46A91">
              <w:rPr>
                <w:b w:val="0"/>
                <w:bCs w:val="0"/>
                <w:sz w:val="17"/>
                <w:szCs w:val="17"/>
                <w:u w:val="single"/>
              </w:rPr>
              <w:t>• Simla Crescent Station</w:t>
            </w:r>
          </w:p>
          <w:p w14:paraId="2903478B" w14:textId="77777777" w:rsidR="00620F0C" w:rsidRPr="00B46A91" w:rsidRDefault="00620F0C" w:rsidP="00E83557">
            <w:pPr>
              <w:pStyle w:val="SubTitleBold"/>
              <w:spacing w:after="0" w:line="240" w:lineRule="auto"/>
              <w:ind w:left="339"/>
              <w:jc w:val="left"/>
              <w:rPr>
                <w:b w:val="0"/>
                <w:bCs w:val="0"/>
                <w:sz w:val="17"/>
                <w:szCs w:val="17"/>
                <w:u w:val="single"/>
              </w:rPr>
            </w:pPr>
            <w:r w:rsidRPr="00B46A91">
              <w:rPr>
                <w:b w:val="0"/>
                <w:bCs w:val="0"/>
                <w:sz w:val="17"/>
                <w:szCs w:val="17"/>
                <w:u w:val="single"/>
              </w:rPr>
              <w:t>• Box Hill Station</w:t>
            </w:r>
          </w:p>
          <w:p w14:paraId="7DDC5D3C" w14:textId="77777777" w:rsidR="00620F0C" w:rsidRPr="00B46A91" w:rsidRDefault="00620F0C" w:rsidP="00E83557">
            <w:pPr>
              <w:pStyle w:val="SubTitleBold"/>
              <w:spacing w:after="0" w:line="240" w:lineRule="auto"/>
              <w:ind w:left="339"/>
              <w:jc w:val="left"/>
              <w:rPr>
                <w:b w:val="0"/>
                <w:bCs w:val="0"/>
                <w:sz w:val="17"/>
                <w:szCs w:val="17"/>
                <w:u w:val="single"/>
              </w:rPr>
            </w:pPr>
            <w:r w:rsidRPr="00B46A91">
              <w:rPr>
                <w:b w:val="0"/>
                <w:bCs w:val="0"/>
                <w:sz w:val="17"/>
                <w:szCs w:val="17"/>
                <w:u w:val="single"/>
              </w:rPr>
              <w:t>• Khandallah Station</w:t>
            </w:r>
          </w:p>
          <w:p w14:paraId="09F1BA6A" w14:textId="77777777" w:rsidR="00620F0C" w:rsidRPr="00B46A91" w:rsidRDefault="00620F0C" w:rsidP="00E83557">
            <w:pPr>
              <w:pStyle w:val="SubTitleBold"/>
              <w:spacing w:after="0" w:line="240" w:lineRule="auto"/>
              <w:ind w:left="339"/>
              <w:jc w:val="left"/>
              <w:rPr>
                <w:b w:val="0"/>
                <w:bCs w:val="0"/>
                <w:sz w:val="17"/>
                <w:szCs w:val="17"/>
                <w:u w:val="single"/>
              </w:rPr>
            </w:pPr>
            <w:r w:rsidRPr="00B46A91">
              <w:rPr>
                <w:b w:val="0"/>
                <w:bCs w:val="0"/>
                <w:sz w:val="17"/>
                <w:szCs w:val="17"/>
                <w:u w:val="single"/>
              </w:rPr>
              <w:t>• Raroa Station</w:t>
            </w:r>
          </w:p>
          <w:p w14:paraId="1989327A" w14:textId="77777777" w:rsidR="00620F0C" w:rsidRPr="00B46A91" w:rsidRDefault="00620F0C" w:rsidP="00B46A91">
            <w:pPr>
              <w:pStyle w:val="SubTitleBold"/>
              <w:spacing w:line="240" w:lineRule="auto"/>
              <w:ind w:left="339"/>
              <w:jc w:val="left"/>
              <w:rPr>
                <w:b w:val="0"/>
                <w:bCs w:val="0"/>
                <w:sz w:val="17"/>
                <w:szCs w:val="17"/>
                <w:u w:val="single"/>
              </w:rPr>
            </w:pPr>
            <w:r w:rsidRPr="00B46A91">
              <w:rPr>
                <w:b w:val="0"/>
                <w:bCs w:val="0"/>
                <w:sz w:val="17"/>
                <w:szCs w:val="17"/>
                <w:u w:val="single"/>
              </w:rPr>
              <w:t>• Johnsonville Station</w:t>
            </w:r>
            <w:r>
              <w:rPr>
                <w:b w:val="0"/>
                <w:bCs w:val="0"/>
                <w:sz w:val="17"/>
                <w:szCs w:val="17"/>
                <w:u w:val="single"/>
              </w:rPr>
              <w:t>.</w:t>
            </w:r>
          </w:p>
          <w:p w14:paraId="3F622E1D" w14:textId="77777777" w:rsidR="00620F0C" w:rsidRPr="00B46A91" w:rsidRDefault="00620F0C" w:rsidP="00B46A91">
            <w:pPr>
              <w:pStyle w:val="SubTitleBold"/>
              <w:spacing w:after="120" w:line="240" w:lineRule="auto"/>
              <w:ind w:left="339"/>
              <w:jc w:val="left"/>
              <w:rPr>
                <w:b w:val="0"/>
                <w:bCs w:val="0"/>
                <w:sz w:val="17"/>
                <w:szCs w:val="17"/>
                <w:u w:val="single"/>
              </w:rPr>
            </w:pPr>
            <w:r w:rsidRPr="00B46A91">
              <w:rPr>
                <w:b w:val="0"/>
                <w:bCs w:val="0"/>
                <w:sz w:val="17"/>
                <w:szCs w:val="17"/>
                <w:u w:val="single"/>
              </w:rPr>
              <w:t>The following station on the Hutt/Melling Line is a rapid transit stop:</w:t>
            </w:r>
          </w:p>
          <w:p w14:paraId="348FE66D" w14:textId="77777777" w:rsidR="00620F0C" w:rsidRPr="00B46A91" w:rsidRDefault="00620F0C" w:rsidP="00B46A91">
            <w:pPr>
              <w:pStyle w:val="SubTitleBold"/>
              <w:keepNext w:val="0"/>
              <w:spacing w:after="120" w:line="240" w:lineRule="auto"/>
              <w:ind w:left="339"/>
              <w:jc w:val="left"/>
              <w:rPr>
                <w:sz w:val="17"/>
                <w:szCs w:val="17"/>
              </w:rPr>
            </w:pPr>
            <w:r w:rsidRPr="00B46A91">
              <w:rPr>
                <w:b w:val="0"/>
                <w:bCs w:val="0"/>
                <w:sz w:val="17"/>
                <w:szCs w:val="17"/>
                <w:u w:val="single"/>
              </w:rPr>
              <w:t>• Ngauranga Station.</w:t>
            </w:r>
          </w:p>
        </w:tc>
      </w:tr>
      <w:tr w:rsidR="00305BC7" w:rsidRPr="00F26663" w14:paraId="66E007B6" w14:textId="77777777" w:rsidTr="002434F8">
        <w:trPr>
          <w:cantSplit/>
        </w:trPr>
        <w:tc>
          <w:tcPr>
            <w:tcW w:w="14029" w:type="dxa"/>
            <w:gridSpan w:val="5"/>
            <w:shd w:val="clear" w:color="auto" w:fill="F2F2F2" w:themeFill="background1" w:themeFillShade="F2"/>
          </w:tcPr>
          <w:p w14:paraId="2E82B17E" w14:textId="3867787A" w:rsidR="00305BC7" w:rsidRPr="00EF490A" w:rsidRDefault="00305BC7" w:rsidP="006B3ACD">
            <w:pPr>
              <w:pStyle w:val="SubTitleBold"/>
              <w:spacing w:before="60" w:after="60" w:line="240" w:lineRule="auto"/>
              <w:ind w:left="0"/>
              <w:jc w:val="left"/>
              <w:rPr>
                <w:b w:val="0"/>
                <w:bCs w:val="0"/>
                <w:sz w:val="17"/>
                <w:szCs w:val="17"/>
              </w:rPr>
            </w:pPr>
            <w:r w:rsidRPr="00305BC7">
              <w:rPr>
                <w:b w:val="0"/>
                <w:bCs w:val="0"/>
                <w:sz w:val="17"/>
                <w:szCs w:val="17"/>
                <w:u w:val="single"/>
              </w:rPr>
              <w:lastRenderedPageBreak/>
              <w:t>Qualifying matters</w:t>
            </w:r>
            <w:r w:rsidR="002434F8">
              <w:rPr>
                <w:b w:val="0"/>
                <w:bCs w:val="0"/>
                <w:sz w:val="17"/>
                <w:szCs w:val="17"/>
                <w:u w:val="single"/>
              </w:rPr>
              <w:t>: Special Character</w:t>
            </w:r>
          </w:p>
        </w:tc>
      </w:tr>
      <w:tr w:rsidR="00D10F17" w:rsidRPr="00F26663" w14:paraId="0AD26A17" w14:textId="77777777" w:rsidTr="00803200">
        <w:trPr>
          <w:cantSplit/>
        </w:trPr>
        <w:tc>
          <w:tcPr>
            <w:tcW w:w="2188" w:type="dxa"/>
          </w:tcPr>
          <w:p w14:paraId="5BAF2D94" w14:textId="77777777" w:rsidR="00D10F17" w:rsidRPr="00EF490A" w:rsidRDefault="00D10F17" w:rsidP="0036144C">
            <w:pPr>
              <w:pStyle w:val="SubTitleBold"/>
              <w:keepNext w:val="0"/>
              <w:spacing w:after="120" w:line="240" w:lineRule="auto"/>
              <w:ind w:left="0"/>
              <w:jc w:val="left"/>
              <w:rPr>
                <w:b w:val="0"/>
                <w:bCs w:val="0"/>
                <w:sz w:val="17"/>
                <w:szCs w:val="17"/>
              </w:rPr>
            </w:pPr>
            <w:r w:rsidRPr="00EF490A">
              <w:rPr>
                <w:b w:val="0"/>
                <w:bCs w:val="0"/>
                <w:sz w:val="17"/>
                <w:szCs w:val="17"/>
              </w:rPr>
              <w:t>Part 3 Area-Specific Matters – Zones – Residential – Medium Density Residential Zone</w:t>
            </w:r>
          </w:p>
        </w:tc>
        <w:tc>
          <w:tcPr>
            <w:tcW w:w="1701" w:type="dxa"/>
          </w:tcPr>
          <w:p w14:paraId="6A745CEE" w14:textId="77777777" w:rsidR="00D10F17" w:rsidRPr="00EF490A" w:rsidRDefault="00D10F17" w:rsidP="0036144C">
            <w:pPr>
              <w:pStyle w:val="SubTitleBold"/>
              <w:keepNext w:val="0"/>
              <w:spacing w:after="120" w:line="240" w:lineRule="auto"/>
              <w:ind w:left="0"/>
              <w:jc w:val="left"/>
              <w:rPr>
                <w:b w:val="0"/>
                <w:bCs w:val="0"/>
                <w:sz w:val="17"/>
                <w:szCs w:val="17"/>
              </w:rPr>
            </w:pPr>
            <w:r w:rsidRPr="00EF490A">
              <w:rPr>
                <w:b w:val="0"/>
                <w:bCs w:val="0"/>
                <w:sz w:val="17"/>
                <w:szCs w:val="17"/>
              </w:rPr>
              <w:t>Extent of Character Precincts within the Medium Density Residential Zone.</w:t>
            </w:r>
          </w:p>
        </w:tc>
        <w:tc>
          <w:tcPr>
            <w:tcW w:w="1493" w:type="dxa"/>
          </w:tcPr>
          <w:p w14:paraId="0D1E1252" w14:textId="77777777" w:rsidR="00D10F17" w:rsidRPr="00EF490A" w:rsidRDefault="00D10F17" w:rsidP="0036144C">
            <w:pPr>
              <w:pStyle w:val="SubTitleBold"/>
              <w:keepNext w:val="0"/>
              <w:spacing w:after="120" w:line="240" w:lineRule="auto"/>
              <w:ind w:left="0"/>
              <w:jc w:val="left"/>
              <w:rPr>
                <w:b w:val="0"/>
                <w:bCs w:val="0"/>
                <w:sz w:val="17"/>
                <w:szCs w:val="17"/>
              </w:rPr>
            </w:pPr>
            <w:r w:rsidRPr="00EF490A">
              <w:rPr>
                <w:b w:val="0"/>
                <w:bCs w:val="0"/>
                <w:sz w:val="17"/>
                <w:szCs w:val="17"/>
              </w:rPr>
              <w:t>Support.</w:t>
            </w:r>
          </w:p>
        </w:tc>
        <w:tc>
          <w:tcPr>
            <w:tcW w:w="3385" w:type="dxa"/>
          </w:tcPr>
          <w:p w14:paraId="55B190EE" w14:textId="259DD22E" w:rsidR="00D10F17" w:rsidRPr="009214A7" w:rsidRDefault="00D10F17" w:rsidP="009214A7">
            <w:pPr>
              <w:pStyle w:val="SubTitleBold"/>
              <w:keepNext w:val="0"/>
              <w:spacing w:after="120" w:line="240" w:lineRule="auto"/>
              <w:ind w:left="0"/>
              <w:jc w:val="left"/>
              <w:rPr>
                <w:b w:val="0"/>
                <w:bCs w:val="0"/>
                <w:sz w:val="17"/>
                <w:szCs w:val="17"/>
              </w:rPr>
            </w:pPr>
            <w:r w:rsidRPr="00FE6EF5">
              <w:rPr>
                <w:b w:val="0"/>
                <w:bCs w:val="0"/>
                <w:sz w:val="17"/>
                <w:szCs w:val="17"/>
              </w:rPr>
              <w:t>In applying Character Precincts within the</w:t>
            </w:r>
            <w:r w:rsidRPr="00FE6EF5">
              <w:t xml:space="preserve"> </w:t>
            </w:r>
            <w:r w:rsidRPr="00FE6EF5">
              <w:rPr>
                <w:b w:val="0"/>
                <w:bCs w:val="0"/>
                <w:sz w:val="17"/>
                <w:szCs w:val="17"/>
              </w:rPr>
              <w:t xml:space="preserve">Medium Density Residential </w:t>
            </w:r>
            <w:proofErr w:type="gramStart"/>
            <w:r w:rsidRPr="00FE6EF5">
              <w:rPr>
                <w:b w:val="0"/>
                <w:bCs w:val="0"/>
                <w:sz w:val="17"/>
                <w:szCs w:val="17"/>
              </w:rPr>
              <w:t>Zone</w:t>
            </w:r>
            <w:proofErr w:type="gramEnd"/>
            <w:r w:rsidRPr="00FE6EF5">
              <w:rPr>
                <w:b w:val="0"/>
                <w:bCs w:val="0"/>
                <w:sz w:val="17"/>
                <w:szCs w:val="17"/>
              </w:rPr>
              <w:t xml:space="preserve"> it is appropriate that the identification of areas only with high concentrations of character (i.e. areas with a predominance of primary classified buildings), and not those with medium concentrations of character</w:t>
            </w:r>
            <w:r w:rsidR="00FE6EF5" w:rsidRPr="00FE6EF5">
              <w:rPr>
                <w:b w:val="0"/>
                <w:bCs w:val="0"/>
                <w:sz w:val="17"/>
                <w:szCs w:val="17"/>
              </w:rPr>
              <w:t xml:space="preserve"> (i.e. areas with a predominance of contributory classified buildings)</w:t>
            </w:r>
            <w:r w:rsidRPr="00FE6EF5">
              <w:rPr>
                <w:b w:val="0"/>
                <w:bCs w:val="0"/>
                <w:sz w:val="17"/>
                <w:szCs w:val="17"/>
              </w:rPr>
              <w:t>, fall within the qualifying matter exemption at s</w:t>
            </w:r>
            <w:r w:rsidR="00A83439">
              <w:rPr>
                <w:b w:val="0"/>
                <w:bCs w:val="0"/>
                <w:sz w:val="17"/>
                <w:szCs w:val="17"/>
              </w:rPr>
              <w:t>ection</w:t>
            </w:r>
            <w:r w:rsidRPr="00FE6EF5">
              <w:rPr>
                <w:b w:val="0"/>
                <w:bCs w:val="0"/>
                <w:sz w:val="17"/>
                <w:szCs w:val="17"/>
              </w:rPr>
              <w:t xml:space="preserve"> 77I(j) of the RMA.</w:t>
            </w:r>
            <w:r w:rsidRPr="009214A7">
              <w:rPr>
                <w:b w:val="0"/>
                <w:bCs w:val="0"/>
                <w:sz w:val="17"/>
                <w:szCs w:val="17"/>
              </w:rPr>
              <w:t xml:space="preserve">  </w:t>
            </w:r>
          </w:p>
          <w:p w14:paraId="1811DCB2" w14:textId="77777777" w:rsidR="00D10F17" w:rsidRPr="009214A7" w:rsidRDefault="00D10F17" w:rsidP="009214A7">
            <w:pPr>
              <w:pStyle w:val="NoNum"/>
            </w:pPr>
          </w:p>
        </w:tc>
        <w:tc>
          <w:tcPr>
            <w:tcW w:w="5262" w:type="dxa"/>
          </w:tcPr>
          <w:p w14:paraId="004C512A" w14:textId="78ACA6D5" w:rsidR="00D10F17" w:rsidRPr="000C24A4" w:rsidRDefault="00D10F17" w:rsidP="0036144C">
            <w:pPr>
              <w:pStyle w:val="SubTitleBold"/>
              <w:keepNext w:val="0"/>
              <w:spacing w:after="120" w:line="240" w:lineRule="auto"/>
              <w:ind w:left="0"/>
              <w:jc w:val="left"/>
              <w:rPr>
                <w:b w:val="0"/>
                <w:bCs w:val="0"/>
                <w:sz w:val="17"/>
                <w:szCs w:val="17"/>
              </w:rPr>
            </w:pPr>
            <w:r w:rsidRPr="00EF490A">
              <w:rPr>
                <w:b w:val="0"/>
                <w:bCs w:val="0"/>
                <w:sz w:val="17"/>
                <w:szCs w:val="17"/>
              </w:rPr>
              <w:t>Retention of the qualifying matter at s</w:t>
            </w:r>
            <w:r w:rsidR="00A83439">
              <w:rPr>
                <w:b w:val="0"/>
                <w:bCs w:val="0"/>
                <w:sz w:val="17"/>
                <w:szCs w:val="17"/>
              </w:rPr>
              <w:t>ection</w:t>
            </w:r>
            <w:r w:rsidRPr="00EF490A">
              <w:rPr>
                <w:b w:val="0"/>
                <w:bCs w:val="0"/>
                <w:sz w:val="17"/>
                <w:szCs w:val="17"/>
              </w:rPr>
              <w:t xml:space="preserve"> 77I(j) of the RMA </w:t>
            </w:r>
            <w:r w:rsidRPr="0038058F">
              <w:rPr>
                <w:b w:val="0"/>
                <w:bCs w:val="0"/>
                <w:sz w:val="17"/>
                <w:szCs w:val="17"/>
              </w:rPr>
              <w:t>applying</w:t>
            </w:r>
            <w:r w:rsidRPr="00EF490A">
              <w:rPr>
                <w:b w:val="0"/>
                <w:bCs w:val="0"/>
                <w:sz w:val="17"/>
                <w:szCs w:val="17"/>
              </w:rPr>
              <w:t xml:space="preserve"> only to properties that have been identified as having </w:t>
            </w:r>
            <w:r w:rsidR="002434F8" w:rsidRPr="00FE6EF5">
              <w:rPr>
                <w:b w:val="0"/>
                <w:bCs w:val="0"/>
                <w:sz w:val="17"/>
                <w:szCs w:val="17"/>
              </w:rPr>
              <w:t>high concentrations of character (</w:t>
            </w:r>
            <w:proofErr w:type="gramStart"/>
            <w:r w:rsidR="002434F8" w:rsidRPr="00FE6EF5">
              <w:rPr>
                <w:b w:val="0"/>
                <w:bCs w:val="0"/>
                <w:sz w:val="17"/>
                <w:szCs w:val="17"/>
              </w:rPr>
              <w:t>i.e.</w:t>
            </w:r>
            <w:proofErr w:type="gramEnd"/>
            <w:r w:rsidR="002434F8" w:rsidRPr="00FE6EF5">
              <w:rPr>
                <w:b w:val="0"/>
                <w:bCs w:val="0"/>
                <w:sz w:val="17"/>
                <w:szCs w:val="17"/>
              </w:rPr>
              <w:t xml:space="preserve"> areas with a predominance of primary classified buildings)</w:t>
            </w:r>
            <w:r w:rsidRPr="00EF490A">
              <w:rPr>
                <w:b w:val="0"/>
                <w:bCs w:val="0"/>
                <w:sz w:val="17"/>
                <w:szCs w:val="17"/>
              </w:rPr>
              <w:t>.</w:t>
            </w:r>
          </w:p>
        </w:tc>
      </w:tr>
      <w:tr w:rsidR="00803200" w:rsidRPr="00F26663" w14:paraId="7B2AF7E5" w14:textId="77777777" w:rsidTr="00803200">
        <w:trPr>
          <w:cantSplit/>
        </w:trPr>
        <w:tc>
          <w:tcPr>
            <w:tcW w:w="2188" w:type="dxa"/>
          </w:tcPr>
          <w:p w14:paraId="2CC273FC" w14:textId="346108BA" w:rsidR="00803200" w:rsidRPr="00B51886" w:rsidRDefault="00813C53" w:rsidP="00B46A91">
            <w:pPr>
              <w:pStyle w:val="SubTitleBold"/>
              <w:keepNext w:val="0"/>
              <w:spacing w:after="120" w:line="240" w:lineRule="auto"/>
              <w:ind w:left="0"/>
              <w:jc w:val="left"/>
              <w:rPr>
                <w:b w:val="0"/>
                <w:bCs w:val="0"/>
                <w:sz w:val="17"/>
                <w:szCs w:val="17"/>
                <w:highlight w:val="yellow"/>
              </w:rPr>
            </w:pPr>
            <w:r w:rsidRPr="00535C95">
              <w:rPr>
                <w:b w:val="0"/>
                <w:bCs w:val="0"/>
                <w:sz w:val="17"/>
                <w:szCs w:val="17"/>
              </w:rPr>
              <w:t xml:space="preserve">Part 3 </w:t>
            </w:r>
            <w:r w:rsidR="006B03BA" w:rsidRPr="006B03BA">
              <w:rPr>
                <w:b w:val="0"/>
                <w:bCs w:val="0"/>
                <w:sz w:val="17"/>
                <w:szCs w:val="17"/>
              </w:rPr>
              <w:t>Area-Specific Matter</w:t>
            </w:r>
            <w:r w:rsidR="006B03BA">
              <w:rPr>
                <w:b w:val="0"/>
                <w:bCs w:val="0"/>
                <w:sz w:val="17"/>
                <w:szCs w:val="17"/>
              </w:rPr>
              <w:t xml:space="preserve">s </w:t>
            </w:r>
            <w:r w:rsidR="006B03BA" w:rsidRPr="00535C95">
              <w:rPr>
                <w:b w:val="0"/>
                <w:bCs w:val="0"/>
                <w:sz w:val="17"/>
                <w:szCs w:val="17"/>
              </w:rPr>
              <w:t xml:space="preserve">– </w:t>
            </w:r>
            <w:r w:rsidRPr="00535C95">
              <w:rPr>
                <w:b w:val="0"/>
                <w:bCs w:val="0"/>
                <w:sz w:val="17"/>
                <w:szCs w:val="17"/>
              </w:rPr>
              <w:t>Zones – Residential –</w:t>
            </w:r>
            <w:r>
              <w:rPr>
                <w:b w:val="0"/>
                <w:bCs w:val="0"/>
                <w:sz w:val="17"/>
                <w:szCs w:val="17"/>
              </w:rPr>
              <w:t xml:space="preserve"> </w:t>
            </w:r>
            <w:r w:rsidRPr="00813C53">
              <w:rPr>
                <w:b w:val="0"/>
                <w:bCs w:val="0"/>
                <w:sz w:val="17"/>
                <w:szCs w:val="17"/>
              </w:rPr>
              <w:t>Medium Density Residential Zone</w:t>
            </w:r>
          </w:p>
        </w:tc>
        <w:tc>
          <w:tcPr>
            <w:tcW w:w="1701" w:type="dxa"/>
          </w:tcPr>
          <w:p w14:paraId="3AE85AF2" w14:textId="58710ED7" w:rsidR="00803200" w:rsidRPr="00B51886" w:rsidRDefault="000C24A4" w:rsidP="00B46A91">
            <w:pPr>
              <w:pStyle w:val="SubTitleBold"/>
              <w:keepNext w:val="0"/>
              <w:spacing w:after="120" w:line="240" w:lineRule="auto"/>
              <w:ind w:left="0"/>
              <w:jc w:val="left"/>
              <w:rPr>
                <w:b w:val="0"/>
                <w:bCs w:val="0"/>
                <w:sz w:val="17"/>
                <w:szCs w:val="17"/>
                <w:highlight w:val="yellow"/>
              </w:rPr>
            </w:pPr>
            <w:r w:rsidRPr="000C24A4">
              <w:rPr>
                <w:b w:val="0"/>
                <w:bCs w:val="0"/>
                <w:sz w:val="17"/>
                <w:szCs w:val="17"/>
              </w:rPr>
              <w:t xml:space="preserve">Extent of </w:t>
            </w:r>
            <w:r w:rsidR="00813C53" w:rsidRPr="000C24A4">
              <w:rPr>
                <w:b w:val="0"/>
                <w:bCs w:val="0"/>
                <w:sz w:val="17"/>
                <w:szCs w:val="17"/>
              </w:rPr>
              <w:t>Character Precincts</w:t>
            </w:r>
            <w:r w:rsidRPr="000C24A4">
              <w:rPr>
                <w:b w:val="0"/>
                <w:bCs w:val="0"/>
                <w:sz w:val="17"/>
                <w:szCs w:val="17"/>
              </w:rPr>
              <w:t xml:space="preserve"> within the Medium Density Residential Zone.</w:t>
            </w:r>
          </w:p>
        </w:tc>
        <w:tc>
          <w:tcPr>
            <w:tcW w:w="1493" w:type="dxa"/>
          </w:tcPr>
          <w:p w14:paraId="7EF5CBEE" w14:textId="41BE6D60" w:rsidR="00803200" w:rsidRPr="00B51886" w:rsidRDefault="00E154BA" w:rsidP="00B46A91">
            <w:pPr>
              <w:pStyle w:val="SubTitleBold"/>
              <w:keepNext w:val="0"/>
              <w:spacing w:after="120" w:line="240" w:lineRule="auto"/>
              <w:ind w:left="0"/>
              <w:jc w:val="left"/>
              <w:rPr>
                <w:b w:val="0"/>
                <w:bCs w:val="0"/>
                <w:sz w:val="17"/>
                <w:szCs w:val="17"/>
                <w:highlight w:val="yellow"/>
              </w:rPr>
            </w:pPr>
            <w:r w:rsidRPr="00E154BA">
              <w:rPr>
                <w:b w:val="0"/>
                <w:bCs w:val="0"/>
                <w:sz w:val="17"/>
                <w:szCs w:val="17"/>
              </w:rPr>
              <w:t>Support.</w:t>
            </w:r>
          </w:p>
        </w:tc>
        <w:tc>
          <w:tcPr>
            <w:tcW w:w="3385" w:type="dxa"/>
          </w:tcPr>
          <w:p w14:paraId="3905D307" w14:textId="6EC8FE0A" w:rsidR="00803200" w:rsidRPr="00CA3D64" w:rsidRDefault="00CA3D64" w:rsidP="00B46A91">
            <w:pPr>
              <w:pStyle w:val="SubTitleBold"/>
              <w:keepNext w:val="0"/>
              <w:spacing w:after="120" w:line="240" w:lineRule="auto"/>
              <w:ind w:left="0"/>
              <w:jc w:val="left"/>
              <w:rPr>
                <w:b w:val="0"/>
                <w:bCs w:val="0"/>
                <w:sz w:val="17"/>
                <w:szCs w:val="17"/>
              </w:rPr>
            </w:pPr>
            <w:r w:rsidRPr="00CA3D64">
              <w:rPr>
                <w:b w:val="0"/>
                <w:bCs w:val="0"/>
                <w:sz w:val="17"/>
                <w:szCs w:val="17"/>
              </w:rPr>
              <w:t>To justify reliance on s</w:t>
            </w:r>
            <w:r w:rsidR="00A83439">
              <w:rPr>
                <w:b w:val="0"/>
                <w:bCs w:val="0"/>
                <w:sz w:val="17"/>
                <w:szCs w:val="17"/>
              </w:rPr>
              <w:t>ection</w:t>
            </w:r>
            <w:r w:rsidRPr="00CA3D64">
              <w:rPr>
                <w:b w:val="0"/>
                <w:bCs w:val="0"/>
                <w:sz w:val="17"/>
                <w:szCs w:val="17"/>
              </w:rPr>
              <w:t xml:space="preserve"> 77I(j) of the RMA, an analysis that complies with s</w:t>
            </w:r>
            <w:r w:rsidR="00A83439">
              <w:rPr>
                <w:b w:val="0"/>
                <w:bCs w:val="0"/>
                <w:sz w:val="17"/>
                <w:szCs w:val="17"/>
              </w:rPr>
              <w:t>ection</w:t>
            </w:r>
            <w:r w:rsidRPr="00CA3D64">
              <w:rPr>
                <w:b w:val="0"/>
                <w:bCs w:val="0"/>
                <w:sz w:val="17"/>
                <w:szCs w:val="17"/>
              </w:rPr>
              <w:t xml:space="preserve"> 77L is required.</w:t>
            </w:r>
          </w:p>
          <w:p w14:paraId="369D5762" w14:textId="2FC6C72F" w:rsidR="00CA3D64" w:rsidRPr="00CA3D64" w:rsidRDefault="00CA3D64" w:rsidP="00CA3D64">
            <w:pPr>
              <w:pStyle w:val="SubTitleBold"/>
              <w:keepNext w:val="0"/>
              <w:spacing w:after="120" w:line="240" w:lineRule="auto"/>
              <w:ind w:left="0"/>
              <w:jc w:val="left"/>
              <w:rPr>
                <w:highlight w:val="yellow"/>
              </w:rPr>
            </w:pPr>
            <w:r w:rsidRPr="00CA3D64">
              <w:rPr>
                <w:b w:val="0"/>
                <w:bCs w:val="0"/>
                <w:sz w:val="17"/>
                <w:szCs w:val="17"/>
              </w:rPr>
              <w:t>In applying Character Precincts within the</w:t>
            </w:r>
            <w:r w:rsidRPr="00CA3D64">
              <w:t xml:space="preserve"> </w:t>
            </w:r>
            <w:r w:rsidRPr="00CA3D64">
              <w:rPr>
                <w:b w:val="0"/>
                <w:bCs w:val="0"/>
                <w:sz w:val="17"/>
                <w:szCs w:val="17"/>
              </w:rPr>
              <w:t>Medium Density Residential Zone WCC has not provided a section 32 analysis that complies with s</w:t>
            </w:r>
            <w:r w:rsidR="00A83439">
              <w:rPr>
                <w:b w:val="0"/>
                <w:bCs w:val="0"/>
                <w:sz w:val="17"/>
                <w:szCs w:val="17"/>
              </w:rPr>
              <w:t>ection</w:t>
            </w:r>
            <w:r w:rsidRPr="00CA3D64">
              <w:rPr>
                <w:b w:val="0"/>
                <w:bCs w:val="0"/>
                <w:sz w:val="17"/>
                <w:szCs w:val="17"/>
              </w:rPr>
              <w:t xml:space="preserve"> 77L of the RMA.</w:t>
            </w:r>
          </w:p>
        </w:tc>
        <w:tc>
          <w:tcPr>
            <w:tcW w:w="5262" w:type="dxa"/>
          </w:tcPr>
          <w:p w14:paraId="4D2E100F" w14:textId="77D43228" w:rsidR="00803200" w:rsidRPr="00393BB6" w:rsidRDefault="000C24A4" w:rsidP="00393BB6">
            <w:pPr>
              <w:pStyle w:val="SubTitleBold"/>
              <w:keepNext w:val="0"/>
              <w:spacing w:after="120" w:line="240" w:lineRule="auto"/>
              <w:ind w:left="0"/>
              <w:jc w:val="left"/>
              <w:rPr>
                <w:b w:val="0"/>
                <w:bCs w:val="0"/>
                <w:sz w:val="17"/>
                <w:szCs w:val="17"/>
              </w:rPr>
            </w:pPr>
            <w:r w:rsidRPr="000C24A4">
              <w:rPr>
                <w:b w:val="0"/>
                <w:bCs w:val="0"/>
                <w:sz w:val="17"/>
                <w:szCs w:val="17"/>
              </w:rPr>
              <w:t>A site-specific analysis of special character properties within the Character Precincts is undertaken that complies with the requirements of s</w:t>
            </w:r>
            <w:r w:rsidR="00A83439">
              <w:rPr>
                <w:b w:val="0"/>
                <w:bCs w:val="0"/>
                <w:sz w:val="17"/>
                <w:szCs w:val="17"/>
              </w:rPr>
              <w:t>ection</w:t>
            </w:r>
            <w:r w:rsidRPr="000C24A4">
              <w:rPr>
                <w:b w:val="0"/>
                <w:bCs w:val="0"/>
                <w:sz w:val="17"/>
                <w:szCs w:val="17"/>
              </w:rPr>
              <w:t xml:space="preserve"> 77L of the RMA</w:t>
            </w:r>
            <w:r>
              <w:rPr>
                <w:b w:val="0"/>
                <w:bCs w:val="0"/>
                <w:sz w:val="17"/>
                <w:szCs w:val="17"/>
              </w:rPr>
              <w:t>.</w:t>
            </w:r>
          </w:p>
        </w:tc>
      </w:tr>
    </w:tbl>
    <w:p w14:paraId="5659C298" w14:textId="77777777" w:rsidR="0032686B" w:rsidRDefault="0032686B" w:rsidP="003C49CF">
      <w:pPr>
        <w:pStyle w:val="SubTitleBold"/>
      </w:pPr>
    </w:p>
    <w:p w14:paraId="508FB412" w14:textId="77777777" w:rsidR="00803200" w:rsidRDefault="00803200" w:rsidP="003C49CF">
      <w:pPr>
        <w:pStyle w:val="SubTitleBold"/>
        <w:sectPr w:rsidR="00803200" w:rsidSect="002C4636">
          <w:headerReference w:type="default" r:id="rId14"/>
          <w:footerReference w:type="default" r:id="rId15"/>
          <w:headerReference w:type="first" r:id="rId16"/>
          <w:footerReference w:type="first" r:id="rId17"/>
          <w:pgSz w:w="16840" w:h="11907" w:orient="landscape" w:code="9"/>
          <w:pgMar w:top="1440" w:right="1440" w:bottom="1440" w:left="1440" w:header="720" w:footer="454" w:gutter="0"/>
          <w:cols w:space="720"/>
          <w:docGrid w:linePitch="258"/>
        </w:sectPr>
      </w:pPr>
    </w:p>
    <w:p w14:paraId="250F33A4" w14:textId="48B8030C" w:rsidR="00FF216B" w:rsidRPr="007261ED" w:rsidRDefault="00FF216B" w:rsidP="003C49CF">
      <w:pPr>
        <w:pStyle w:val="SubTitleBold"/>
      </w:pPr>
      <w:r w:rsidRPr="007261ED">
        <w:lastRenderedPageBreak/>
        <w:t>Structure of submission</w:t>
      </w:r>
    </w:p>
    <w:p w14:paraId="533CED00" w14:textId="6C4D80DD" w:rsidR="00FF216B" w:rsidRPr="007261ED" w:rsidRDefault="00197AE6" w:rsidP="00FF216B">
      <w:pPr>
        <w:pStyle w:val="Heading2"/>
      </w:pPr>
      <w:r w:rsidRPr="007261ED">
        <w:t>T</w:t>
      </w:r>
      <w:r w:rsidR="00FF216B" w:rsidRPr="007261ED">
        <w:t>his submission identifies each key issue that needs to be addressed and identifies</w:t>
      </w:r>
      <w:r w:rsidR="00461042">
        <w:t xml:space="preserve"> </w:t>
      </w:r>
      <w:r w:rsidR="00FF216B" w:rsidRPr="007261ED">
        <w:t>the relief that is sought to address that issue.</w:t>
      </w:r>
      <w:r w:rsidR="00376865" w:rsidRPr="007261ED">
        <w:t xml:space="preserve"> </w:t>
      </w:r>
      <w:r w:rsidR="00BA2298">
        <w:t xml:space="preserve"> </w:t>
      </w:r>
      <w:r w:rsidR="00376865" w:rsidRPr="007261ED">
        <w:t>In that regard, this submission addresses:</w:t>
      </w:r>
    </w:p>
    <w:p w14:paraId="23C13856" w14:textId="126804AA" w:rsidR="00F24A4E" w:rsidRDefault="00F24A4E" w:rsidP="00376865">
      <w:pPr>
        <w:pStyle w:val="Heading3"/>
      </w:pPr>
      <w:r>
        <w:t>Rationale for submission (Section 2</w:t>
      </w:r>
      <w:proofErr w:type="gramStart"/>
      <w:r>
        <w:t>);</w:t>
      </w:r>
      <w:proofErr w:type="gramEnd"/>
    </w:p>
    <w:p w14:paraId="0E3A31FE" w14:textId="365A9D6A" w:rsidR="00603881" w:rsidRPr="004170F6" w:rsidRDefault="004170F6" w:rsidP="00376865">
      <w:pPr>
        <w:pStyle w:val="Heading3"/>
      </w:pPr>
      <w:r w:rsidRPr="004170F6">
        <w:t>City Centre Zone height limits</w:t>
      </w:r>
      <w:r w:rsidR="00603881" w:rsidRPr="004170F6">
        <w:t xml:space="preserve"> (Section </w:t>
      </w:r>
      <w:r w:rsidR="00F24A4E">
        <w:t>3</w:t>
      </w:r>
      <w:proofErr w:type="gramStart"/>
      <w:r w:rsidR="00603881" w:rsidRPr="004170F6">
        <w:t>);</w:t>
      </w:r>
      <w:proofErr w:type="gramEnd"/>
    </w:p>
    <w:p w14:paraId="377FC1A3" w14:textId="444BE2BA" w:rsidR="00603881" w:rsidRPr="004170F6" w:rsidRDefault="004170F6" w:rsidP="00376865">
      <w:pPr>
        <w:pStyle w:val="Heading3"/>
      </w:pPr>
      <w:r w:rsidRPr="004170F6">
        <w:t xml:space="preserve">Walkable catchments </w:t>
      </w:r>
      <w:r w:rsidR="00603881" w:rsidRPr="004170F6">
        <w:t xml:space="preserve">(Section </w:t>
      </w:r>
      <w:r w:rsidR="00F24A4E">
        <w:t>4</w:t>
      </w:r>
      <w:proofErr w:type="gramStart"/>
      <w:r w:rsidR="00603881" w:rsidRPr="004170F6">
        <w:t>);</w:t>
      </w:r>
      <w:proofErr w:type="gramEnd"/>
    </w:p>
    <w:p w14:paraId="250FA6DD" w14:textId="0AB9E077" w:rsidR="004170F6" w:rsidRPr="004170F6" w:rsidRDefault="004170F6" w:rsidP="00376865">
      <w:pPr>
        <w:pStyle w:val="Heading3"/>
      </w:pPr>
      <w:r w:rsidRPr="004170F6">
        <w:t xml:space="preserve">Johnsonville </w:t>
      </w:r>
      <w:r w:rsidR="00E34976" w:rsidRPr="004170F6">
        <w:t xml:space="preserve">Rail Line </w:t>
      </w:r>
      <w:r w:rsidRPr="004170F6">
        <w:t xml:space="preserve">(Section </w:t>
      </w:r>
      <w:r w:rsidR="00F24A4E">
        <w:t>5</w:t>
      </w:r>
      <w:proofErr w:type="gramStart"/>
      <w:r w:rsidRPr="004170F6">
        <w:t>);</w:t>
      </w:r>
      <w:proofErr w:type="gramEnd"/>
    </w:p>
    <w:p w14:paraId="6B62BEB7" w14:textId="13CE07B5" w:rsidR="00376865" w:rsidRPr="004170F6" w:rsidRDefault="00FE5A67" w:rsidP="00376865">
      <w:pPr>
        <w:pStyle w:val="Heading3"/>
      </w:pPr>
      <w:r>
        <w:t>Special c</w:t>
      </w:r>
      <w:r w:rsidR="004170F6" w:rsidRPr="004170F6">
        <w:t xml:space="preserve">haracter </w:t>
      </w:r>
      <w:r w:rsidR="005717CC">
        <w:t xml:space="preserve">sites and </w:t>
      </w:r>
      <w:r w:rsidR="004170F6" w:rsidRPr="004170F6">
        <w:t>areas</w:t>
      </w:r>
      <w:r w:rsidR="00603881" w:rsidRPr="004170F6">
        <w:t xml:space="preserve"> (Section </w:t>
      </w:r>
      <w:r w:rsidR="00F24A4E">
        <w:t>6</w:t>
      </w:r>
      <w:r w:rsidR="00603881" w:rsidRPr="004170F6">
        <w:t>)</w:t>
      </w:r>
      <w:r w:rsidR="00376865" w:rsidRPr="004170F6">
        <w:t xml:space="preserve">; and </w:t>
      </w:r>
    </w:p>
    <w:p w14:paraId="10540283" w14:textId="6A195604" w:rsidR="00376865" w:rsidRPr="004170F6" w:rsidRDefault="00122F48" w:rsidP="00376865">
      <w:pPr>
        <w:pStyle w:val="Heading3"/>
      </w:pPr>
      <w:r w:rsidRPr="004170F6">
        <w:t xml:space="preserve">The relief sought by </w:t>
      </w:r>
      <w:r w:rsidR="007732FF" w:rsidRPr="004170F6">
        <w:t>GZ Inc</w:t>
      </w:r>
      <w:r w:rsidRPr="004170F6">
        <w:t xml:space="preserve"> (section </w:t>
      </w:r>
      <w:r w:rsidR="00F24A4E">
        <w:t>7</w:t>
      </w:r>
      <w:r w:rsidRPr="004170F6">
        <w:t xml:space="preserve">). </w:t>
      </w:r>
    </w:p>
    <w:p w14:paraId="59AE0606" w14:textId="343922E2" w:rsidR="008175B9" w:rsidRDefault="008175B9" w:rsidP="007D0335">
      <w:pPr>
        <w:pStyle w:val="Heading1"/>
        <w:keepLines/>
      </w:pPr>
      <w:r w:rsidRPr="007C75B0">
        <w:t xml:space="preserve">rationale for submission </w:t>
      </w:r>
    </w:p>
    <w:p w14:paraId="0EFC097A" w14:textId="685B4A5E" w:rsidR="00A164C2" w:rsidRPr="00A164C2" w:rsidRDefault="00A164C2" w:rsidP="00A164C2">
      <w:pPr>
        <w:pStyle w:val="Heading2"/>
        <w:numPr>
          <w:ilvl w:val="0"/>
          <w:numId w:val="0"/>
        </w:numPr>
        <w:ind w:left="720"/>
      </w:pPr>
      <w:r>
        <w:t>[</w:t>
      </w:r>
      <w:r w:rsidRPr="00A164C2">
        <w:rPr>
          <w:highlight w:val="yellow"/>
        </w:rPr>
        <w:t>GZ to expand this section</w:t>
      </w:r>
      <w:r>
        <w:t>]</w:t>
      </w:r>
    </w:p>
    <w:p w14:paraId="5E1B14D8" w14:textId="49526946" w:rsidR="007C75B0" w:rsidRPr="00215206" w:rsidRDefault="007C75B0" w:rsidP="007C75B0">
      <w:pPr>
        <w:pStyle w:val="Heading2"/>
      </w:pPr>
      <w:r w:rsidRPr="007C75B0">
        <w:t xml:space="preserve">GZ Inc proposes its amendments to the PDP on the basis that these align </w:t>
      </w:r>
      <w:r w:rsidRPr="00215206">
        <w:t>with its objectives of achieving a thriving, zero</w:t>
      </w:r>
      <w:r w:rsidR="00A354D9" w:rsidRPr="00215206">
        <w:t>-</w:t>
      </w:r>
      <w:r w:rsidRPr="00215206">
        <w:t xml:space="preserve">carbon Aotearoa.  </w:t>
      </w:r>
    </w:p>
    <w:p w14:paraId="799D8F39" w14:textId="5AB1C6AE" w:rsidR="009B0DA5" w:rsidRPr="007C75B0" w:rsidRDefault="00215206" w:rsidP="007C75B0">
      <w:pPr>
        <w:pStyle w:val="Heading2"/>
      </w:pPr>
      <w:r w:rsidRPr="00215206">
        <w:t>A zero-carbon Aote</w:t>
      </w:r>
      <w:r>
        <w:t>a</w:t>
      </w:r>
      <w:r w:rsidRPr="00215206">
        <w:t xml:space="preserve">roa is important </w:t>
      </w:r>
      <w:r>
        <w:t xml:space="preserve">to </w:t>
      </w:r>
      <w:r w:rsidR="002B03E7">
        <w:t xml:space="preserve">contribute to </w:t>
      </w:r>
      <w:r>
        <w:t>address</w:t>
      </w:r>
      <w:r w:rsidR="002B03E7">
        <w:t>ing</w:t>
      </w:r>
      <w:r>
        <w:t xml:space="preserve"> the global climate crisis.  Without </w:t>
      </w:r>
      <w:r w:rsidR="00F30E90">
        <w:t xml:space="preserve">increased </w:t>
      </w:r>
      <w:r>
        <w:t xml:space="preserve">action, carbon emissions </w:t>
      </w:r>
      <w:r w:rsidR="00575965">
        <w:t xml:space="preserve">in Aotearoa </w:t>
      </w:r>
      <w:r>
        <w:t xml:space="preserve">will continue to </w:t>
      </w:r>
      <w:r w:rsidR="004A5755">
        <w:t xml:space="preserve">rise and </w:t>
      </w:r>
      <w:r w:rsidR="005D61EA">
        <w:t>contribute to</w:t>
      </w:r>
      <w:r w:rsidR="004A5755">
        <w:t xml:space="preserve"> </w:t>
      </w:r>
      <w:r>
        <w:t>harm</w:t>
      </w:r>
      <w:r w:rsidR="005D61EA">
        <w:t>ing</w:t>
      </w:r>
      <w:r>
        <w:t xml:space="preserve"> the planet</w:t>
      </w:r>
      <w:r w:rsidR="00E06013">
        <w:t>,</w:t>
      </w:r>
      <w:r>
        <w:t xml:space="preserve"> leading to increased </w:t>
      </w:r>
      <w:r w:rsidR="00E06013">
        <w:t xml:space="preserve">global </w:t>
      </w:r>
      <w:r>
        <w:t xml:space="preserve">temperatures, </w:t>
      </w:r>
      <w:r w:rsidR="004A5755">
        <w:t xml:space="preserve">an increase in the frequency and scale of adverse weather events, </w:t>
      </w:r>
      <w:r>
        <w:t xml:space="preserve">rising sea levels and displacement of communities.  The earth is already suffering the consequences of </w:t>
      </w:r>
      <w:r w:rsidR="00D52058">
        <w:t>climate change and i</w:t>
      </w:r>
      <w:r>
        <w:t xml:space="preserve">t is important to address these issues </w:t>
      </w:r>
      <w:r w:rsidR="00D52058">
        <w:t>to slow the harm being caused.</w:t>
      </w:r>
    </w:p>
    <w:p w14:paraId="4FFB7BC8" w14:textId="4F212086" w:rsidR="007C75B0" w:rsidRPr="007C75B0" w:rsidRDefault="007C75B0" w:rsidP="007C75B0">
      <w:pPr>
        <w:pStyle w:val="Heading2"/>
      </w:pPr>
      <w:r w:rsidRPr="007C75B0">
        <w:t>For Wellington, and all cities across New Zealand, GZ Inc supports sustainable urban form, low or zero-emissions transport options and increased density</w:t>
      </w:r>
      <w:r w:rsidR="00516785">
        <w:t xml:space="preserve"> of development</w:t>
      </w:r>
      <w:r w:rsidRPr="007C75B0">
        <w:t>.  For Wellington city centre, GZ Inc considers that unlimited height controls are appropriate, to support a compact urban form</w:t>
      </w:r>
      <w:r w:rsidR="00A86D8D">
        <w:t xml:space="preserve"> which promotes efficiency of development</w:t>
      </w:r>
      <w:r w:rsidR="00553920">
        <w:t xml:space="preserve"> and reduce</w:t>
      </w:r>
      <w:r w:rsidR="00A86D8D">
        <w:t>s</w:t>
      </w:r>
      <w:r w:rsidR="00553920">
        <w:t xml:space="preserve"> carbon emissions by facilitating people to travel efficiently between home and work locations</w:t>
      </w:r>
      <w:r w:rsidRPr="007C75B0">
        <w:t xml:space="preserve">.  </w:t>
      </w:r>
    </w:p>
    <w:p w14:paraId="7DC89546" w14:textId="77777777" w:rsidR="007C75B0" w:rsidRPr="007C75B0" w:rsidRDefault="007C75B0" w:rsidP="007C75B0">
      <w:pPr>
        <w:pStyle w:val="Heading2"/>
      </w:pPr>
      <w:r w:rsidRPr="007C75B0">
        <w:t>GZ Inc supports better quality and accessible public and active transport infrastructure that improves quality of life throughout the city, enabling people to live close to or sustainably access where they work, study, and socialise.</w:t>
      </w:r>
    </w:p>
    <w:p w14:paraId="131394AB" w14:textId="77777777" w:rsidR="007C75B0" w:rsidRDefault="007C75B0" w:rsidP="007C75B0">
      <w:pPr>
        <w:pStyle w:val="Heading2"/>
        <w:keepLines/>
      </w:pPr>
      <w:r w:rsidRPr="007C75B0">
        <w:lastRenderedPageBreak/>
        <w:t>GZ Inc supports a PDP that creates a city with abundant affordable and accessible housing as well as a city-wide rapid-transit and bicycle network.  Achieving these will assist with tackling the housing crisis, reduce transport emissions, and create a liveable city</w:t>
      </w:r>
      <w:r>
        <w:t>.</w:t>
      </w:r>
    </w:p>
    <w:p w14:paraId="7994AE71" w14:textId="7A8C3E72" w:rsidR="007261ED" w:rsidRDefault="004170F6" w:rsidP="007C75B0">
      <w:pPr>
        <w:pStyle w:val="Heading1"/>
      </w:pPr>
      <w:r w:rsidRPr="00AE6E53">
        <w:t>City Centre Zone height limits</w:t>
      </w:r>
    </w:p>
    <w:p w14:paraId="31F606EB" w14:textId="6B5E6171" w:rsidR="00B62555" w:rsidRDefault="00B62555" w:rsidP="0073687E">
      <w:pPr>
        <w:pStyle w:val="Heading2"/>
      </w:pPr>
      <w:r>
        <w:t>T</w:t>
      </w:r>
      <w:r w:rsidRPr="00AA0BB5">
        <w:t>he PDP retains height limit controls in the City Centre Zone</w:t>
      </w:r>
      <w:r w:rsidRPr="00AA0BB5">
        <w:rPr>
          <w:rStyle w:val="FootnoteReference"/>
        </w:rPr>
        <w:footnoteReference w:id="1"/>
      </w:r>
      <w:r>
        <w:t xml:space="preserve">, with only limited increases from the Operative District Plan (“ODP”). </w:t>
      </w:r>
    </w:p>
    <w:p w14:paraId="333BC5A8" w14:textId="77777777" w:rsidR="00FE6D11" w:rsidRDefault="00FE6D11" w:rsidP="0073687E">
      <w:pPr>
        <w:pStyle w:val="Heading2"/>
      </w:pPr>
      <w:r>
        <w:t>The retention of height limit controls in the PDP directly contradicts the NPS</w:t>
      </w:r>
      <w:r>
        <w:noBreakHyphen/>
        <w:t xml:space="preserve">UD requirement that building heights in City Centre zones </w:t>
      </w:r>
      <w:r w:rsidRPr="007D0335">
        <w:rPr>
          <w:i/>
          <w:iCs/>
        </w:rPr>
        <w:t>“realise as much development capacity as possible”.</w:t>
      </w:r>
      <w:r>
        <w:t xml:space="preserve">  </w:t>
      </w:r>
    </w:p>
    <w:p w14:paraId="1ECD1062" w14:textId="45644870" w:rsidR="00FE6D11" w:rsidRDefault="00FE6D11" w:rsidP="0073687E">
      <w:pPr>
        <w:pStyle w:val="Heading2"/>
      </w:pPr>
      <w:r>
        <w:t>Section 77</w:t>
      </w:r>
      <w:proofErr w:type="gramStart"/>
      <w:r>
        <w:t>N(</w:t>
      </w:r>
      <w:proofErr w:type="gramEnd"/>
      <w:r>
        <w:t>2) of the RMA requires that:</w:t>
      </w:r>
    </w:p>
    <w:p w14:paraId="3E1A9B9A" w14:textId="18DDE2D1" w:rsidR="00FE6D11" w:rsidRDefault="00FE6D11" w:rsidP="00FE6D11">
      <w:pPr>
        <w:pStyle w:val="Quote"/>
      </w:pPr>
      <w:r>
        <w:t>“In carrying out its functions under subsection (1), the territorial authority must ensure that the provisions in its district plan for each urban non-residential zone within the authority’s urban environment give effect to the changes required by policy 3 or policy 5, as the case requires”</w:t>
      </w:r>
    </w:p>
    <w:p w14:paraId="066EBE2A" w14:textId="4B7822A1" w:rsidR="00AE6E53" w:rsidRPr="009B476D" w:rsidRDefault="009B476D" w:rsidP="0073687E">
      <w:pPr>
        <w:pStyle w:val="Heading2"/>
      </w:pPr>
      <w:r>
        <w:t>Policy</w:t>
      </w:r>
      <w:r w:rsidR="00AE6E53" w:rsidRPr="009B476D">
        <w:t xml:space="preserve"> 3(a) </w:t>
      </w:r>
      <w:r>
        <w:t xml:space="preserve">of the NPS-UD </w:t>
      </w:r>
      <w:r w:rsidR="00AE6E53" w:rsidRPr="009B476D">
        <w:t>is as follows:</w:t>
      </w:r>
    </w:p>
    <w:p w14:paraId="257ED263" w14:textId="77777777" w:rsidR="00FA49B6" w:rsidRDefault="00AE6E53" w:rsidP="0025363B">
      <w:pPr>
        <w:pStyle w:val="Quote"/>
        <w:spacing w:after="120"/>
      </w:pPr>
      <w:r w:rsidRPr="009B476D">
        <w:t>“</w:t>
      </w:r>
      <w:r w:rsidR="00FA49B6" w:rsidRPr="009B476D">
        <w:rPr>
          <w:b/>
          <w:bCs/>
        </w:rPr>
        <w:t>Policy 3</w:t>
      </w:r>
      <w:r w:rsidR="00FA49B6" w:rsidRPr="009B476D">
        <w:t>: In relation to tier 1 urban environments, regional policy statements and district plans enable:</w:t>
      </w:r>
      <w:r w:rsidR="00FA49B6" w:rsidRPr="00FA49B6">
        <w:t xml:space="preserve"> </w:t>
      </w:r>
    </w:p>
    <w:p w14:paraId="6B1A95AC" w14:textId="10C7F781" w:rsidR="00AE6E53" w:rsidRPr="00FA49B6" w:rsidRDefault="00FA49B6" w:rsidP="0025363B">
      <w:pPr>
        <w:pStyle w:val="Quote"/>
        <w:spacing w:after="120"/>
        <w:ind w:left="2160" w:hanging="720"/>
      </w:pPr>
      <w:r w:rsidRPr="00FA49B6">
        <w:t>(a)</w:t>
      </w:r>
      <w:r w:rsidRPr="00FA49B6">
        <w:tab/>
        <w:t xml:space="preserve">in city centre zones, building heights and density of urban form to realise </w:t>
      </w:r>
      <w:r w:rsidRPr="009E34E9">
        <w:rPr>
          <w:u w:val="single"/>
        </w:rPr>
        <w:t>as much development capacity as possible</w:t>
      </w:r>
      <w:r w:rsidRPr="00FA49B6">
        <w:t>, to maximise benefits of intensification; and</w:t>
      </w:r>
    </w:p>
    <w:p w14:paraId="18A2F8A4" w14:textId="77777777" w:rsidR="009E34E9" w:rsidRDefault="00FA49B6" w:rsidP="009E34E9">
      <w:pPr>
        <w:pStyle w:val="Quote"/>
      </w:pPr>
      <w:r w:rsidRPr="00FA49B6">
        <w:t>…”</w:t>
      </w:r>
    </w:p>
    <w:p w14:paraId="744CC7EA" w14:textId="3F297994" w:rsidR="00FA49B6" w:rsidRPr="009E34E9" w:rsidRDefault="009E34E9" w:rsidP="007B46D8">
      <w:pPr>
        <w:pStyle w:val="Quote"/>
        <w:spacing w:after="360"/>
        <w:rPr>
          <w:sz w:val="19"/>
          <w:szCs w:val="19"/>
        </w:rPr>
      </w:pPr>
      <w:r w:rsidRPr="009E34E9">
        <w:rPr>
          <w:i w:val="0"/>
          <w:iCs w:val="0"/>
          <w:sz w:val="19"/>
          <w:szCs w:val="19"/>
        </w:rPr>
        <w:t>(</w:t>
      </w:r>
      <w:r w:rsidRPr="009E34E9">
        <w:rPr>
          <w:i w:val="0"/>
          <w:iCs w:val="0"/>
          <w:sz w:val="19"/>
          <w:szCs w:val="19"/>
          <w:u w:val="single"/>
        </w:rPr>
        <w:t>Emphasis</w:t>
      </w:r>
      <w:r w:rsidRPr="009E34E9">
        <w:rPr>
          <w:i w:val="0"/>
          <w:iCs w:val="0"/>
          <w:sz w:val="19"/>
          <w:szCs w:val="19"/>
        </w:rPr>
        <w:t xml:space="preserve"> ours)</w:t>
      </w:r>
    </w:p>
    <w:p w14:paraId="732FFAE9" w14:textId="06748F93" w:rsidR="00F51162" w:rsidRPr="00F51162" w:rsidRDefault="008F1E41" w:rsidP="00F51162">
      <w:pPr>
        <w:pStyle w:val="Heading2"/>
      </w:pPr>
      <w:r>
        <w:t xml:space="preserve">This is a strong direction which indicates a presumption that height should be unlimited unless </w:t>
      </w:r>
      <w:proofErr w:type="gramStart"/>
      <w:r>
        <w:t>particular limitations</w:t>
      </w:r>
      <w:proofErr w:type="gramEnd"/>
      <w:r>
        <w:t xml:space="preserve"> are justified.</w:t>
      </w:r>
      <w:r w:rsidR="00F51162" w:rsidRPr="00F51162">
        <w:t xml:space="preserve"> The proposal to increase building heights to </w:t>
      </w:r>
      <w:r w:rsidR="00F51162" w:rsidRPr="00945660">
        <w:rPr>
          <w:rStyle w:val="FootnoteReference"/>
          <w:sz w:val="16"/>
          <w:szCs w:val="20"/>
          <w:vertAlign w:val="baseline"/>
        </w:rPr>
        <w:t>realise</w:t>
      </w:r>
      <w:r w:rsidR="00F51162" w:rsidRPr="00F51162">
        <w:t xml:space="preserve"> </w:t>
      </w:r>
      <w:r w:rsidR="00F51162">
        <w:t>“</w:t>
      </w:r>
      <w:r w:rsidR="00F51162" w:rsidRPr="00F51162">
        <w:t>greater development potential than under the ODP</w:t>
      </w:r>
      <w:r w:rsidR="00F51162">
        <w:t>”</w:t>
      </w:r>
      <w:r w:rsidR="00F51162" w:rsidRPr="00F51162">
        <w:t xml:space="preserve"> is not consistent with </w:t>
      </w:r>
      <w:r w:rsidR="00F51162">
        <w:t>this direction</w:t>
      </w:r>
      <w:r w:rsidR="00F51162" w:rsidRPr="00F51162">
        <w:t>.</w:t>
      </w:r>
    </w:p>
    <w:p w14:paraId="1CCFB189" w14:textId="77777777" w:rsidR="00CF2000" w:rsidRPr="00F44F2C" w:rsidRDefault="00CF2000" w:rsidP="00CF2000">
      <w:pPr>
        <w:pStyle w:val="Heading2"/>
        <w:spacing w:before="240"/>
      </w:pPr>
      <w:r w:rsidRPr="00F44F2C">
        <w:t>Ministry for the Environment (</w:t>
      </w:r>
      <w:r>
        <w:t>“</w:t>
      </w:r>
      <w:r w:rsidRPr="00F44F2C">
        <w:t>MfE”) guidance</w:t>
      </w:r>
      <w:r>
        <w:t xml:space="preserve"> (“the MfE guidance”) states </w:t>
      </w:r>
      <w:r w:rsidRPr="00F44F2C">
        <w:t xml:space="preserve">that </w:t>
      </w:r>
      <w:r>
        <w:t xml:space="preserve">in implementing policy 3(a) of the NPS-UD, enabling development ‘as much as possible’ is expected to mean greater than six storeys, and </w:t>
      </w:r>
      <w:r w:rsidRPr="00F44F2C">
        <w:t xml:space="preserve">it may </w:t>
      </w:r>
      <w:r w:rsidRPr="00F44F2C">
        <w:lastRenderedPageBreak/>
        <w:t xml:space="preserve">be appropriate for Tier 1 local authorities to </w:t>
      </w:r>
      <w:r>
        <w:t>have no</w:t>
      </w:r>
      <w:r w:rsidRPr="00F44F2C">
        <w:t xml:space="preserve"> maximum building heights in city centre zones or large parts of city centre zones:</w:t>
      </w:r>
      <w:bookmarkStart w:id="2" w:name="_Ref112927187"/>
      <w:r w:rsidRPr="00F44F2C">
        <w:rPr>
          <w:rStyle w:val="FootnoteReference"/>
        </w:rPr>
        <w:footnoteReference w:id="2"/>
      </w:r>
      <w:bookmarkEnd w:id="2"/>
    </w:p>
    <w:p w14:paraId="66DA8AB7" w14:textId="77777777" w:rsidR="00CF2000" w:rsidRPr="00254310" w:rsidRDefault="00CF2000" w:rsidP="00CF2000">
      <w:pPr>
        <w:pStyle w:val="Quote"/>
        <w:spacing w:after="120"/>
        <w:rPr>
          <w:b/>
          <w:bCs/>
        </w:rPr>
      </w:pPr>
      <w:r w:rsidRPr="00F44F2C">
        <w:t>“</w:t>
      </w:r>
      <w:r w:rsidRPr="00254310">
        <w:rPr>
          <w:b/>
          <w:bCs/>
        </w:rPr>
        <w:t xml:space="preserve">6.2 Enabling as much development capacity as possible in city centre zones (Policy 3(a)) </w:t>
      </w:r>
    </w:p>
    <w:p w14:paraId="6908864A" w14:textId="77777777" w:rsidR="00CF2000" w:rsidRDefault="00CF2000" w:rsidP="00CF2000">
      <w:pPr>
        <w:pStyle w:val="Quote"/>
        <w:spacing w:after="120"/>
      </w:pPr>
      <w:r>
        <w:t>…</w:t>
      </w:r>
    </w:p>
    <w:p w14:paraId="0714AFBC" w14:textId="77777777" w:rsidR="00CF2000" w:rsidRPr="00F44F2C" w:rsidRDefault="00CF2000" w:rsidP="00CF2000">
      <w:pPr>
        <w:pStyle w:val="Quote"/>
        <w:spacing w:after="120"/>
      </w:pPr>
      <w:r w:rsidRPr="00D018A1">
        <w:t>City centres are a step up in the zoning hierarchy from metropolitan centres, so enabling as much development capacity as possible is expected to mean greater than six storeys (because six storeys is the minimum</w:t>
      </w:r>
      <w:r>
        <w:t xml:space="preserve"> </w:t>
      </w:r>
      <w:r w:rsidRPr="00D018A1">
        <w:t xml:space="preserve">for metropolitan centres). </w:t>
      </w:r>
      <w:r w:rsidRPr="00813664">
        <w:rPr>
          <w:u w:val="single"/>
        </w:rPr>
        <w:t>Tier 1 local authorities should be considering the level of demand and accessibility in determining what heights and densities can be enabled</w:t>
      </w:r>
      <w:r w:rsidRPr="00F44F2C">
        <w:t>. In practice, this may mean:</w:t>
      </w:r>
    </w:p>
    <w:p w14:paraId="3FA67386" w14:textId="77777777" w:rsidR="00CF2000" w:rsidRPr="00F44F2C" w:rsidRDefault="00CF2000" w:rsidP="00CF2000">
      <w:pPr>
        <w:pStyle w:val="Quote"/>
        <w:spacing w:after="120"/>
        <w:ind w:left="2160" w:hanging="720"/>
      </w:pPr>
      <w:r w:rsidRPr="00F44F2C">
        <w:rPr>
          <w:rFonts w:ascii="Calibri" w:hAnsi="Calibri" w:cs="Calibri"/>
        </w:rPr>
        <w:t>•</w:t>
      </w:r>
      <w:r w:rsidRPr="00F44F2C">
        <w:tab/>
        <w:t>no maximum building heights or maximum gross floor area (GFA) standards in city centre zones or large parts of city centre zones</w:t>
      </w:r>
    </w:p>
    <w:p w14:paraId="6FAAA64E" w14:textId="77777777" w:rsidR="00CF2000" w:rsidRDefault="00CF2000" w:rsidP="00CF2000">
      <w:pPr>
        <w:pStyle w:val="Quote"/>
        <w:spacing w:after="120"/>
        <w:ind w:left="2160" w:hanging="720"/>
      </w:pPr>
      <w:r w:rsidRPr="00F44F2C">
        <w:rPr>
          <w:rFonts w:ascii="Calibri" w:hAnsi="Calibri" w:cs="Calibri"/>
        </w:rPr>
        <w:t>•</w:t>
      </w:r>
      <w:r w:rsidRPr="00F44F2C">
        <w:tab/>
        <w:t xml:space="preserve">development standards that may limit building height and density, where there is evidence that doing so will contribute to a well-functioning urban environment and achieving the objectives of the </w:t>
      </w:r>
      <w:proofErr w:type="gramStart"/>
      <w:r w:rsidRPr="00F44F2C">
        <w:t>NPS-UD as a whole</w:t>
      </w:r>
      <w:proofErr w:type="gramEnd"/>
      <w:r w:rsidRPr="00F44F2C">
        <w:t>.</w:t>
      </w:r>
    </w:p>
    <w:p w14:paraId="00BAFB3F" w14:textId="77777777" w:rsidR="00CF2000" w:rsidRDefault="00CF2000" w:rsidP="00CF2000">
      <w:pPr>
        <w:pStyle w:val="Quote"/>
        <w:spacing w:after="120"/>
      </w:pPr>
      <w:r w:rsidRPr="00AD445A">
        <w:t xml:space="preserve">In giving effect to this policy requirement, local authorities need to step through the following: </w:t>
      </w:r>
    </w:p>
    <w:p w14:paraId="20454B92" w14:textId="495569A2" w:rsidR="00CF2000" w:rsidRDefault="00CF2000" w:rsidP="00F53545">
      <w:pPr>
        <w:pStyle w:val="Quote"/>
        <w:ind w:left="2160" w:hanging="720"/>
        <w:rPr>
          <w:b/>
          <w:bCs/>
        </w:rPr>
      </w:pPr>
      <w:r w:rsidRPr="00F44F2C">
        <w:rPr>
          <w:rFonts w:ascii="Calibri" w:hAnsi="Calibri" w:cs="Calibri"/>
        </w:rPr>
        <w:t>•</w:t>
      </w:r>
      <w:r w:rsidRPr="00F44F2C">
        <w:tab/>
      </w:r>
      <w:r w:rsidRPr="00813664">
        <w:rPr>
          <w:u w:val="single"/>
        </w:rPr>
        <w:t xml:space="preserve">Consider what ‘as much as possible’ is going to mean in the city centre, </w:t>
      </w:r>
      <w:proofErr w:type="gramStart"/>
      <w:r w:rsidRPr="00813664">
        <w:rPr>
          <w:u w:val="single"/>
        </w:rPr>
        <w:t>taking into account</w:t>
      </w:r>
      <w:proofErr w:type="gramEnd"/>
      <w:r w:rsidRPr="00813664">
        <w:rPr>
          <w:u w:val="single"/>
        </w:rPr>
        <w:t xml:space="preserve"> local circumstances and factors – specifically, the level of demand and accessibility should be key considerations</w:t>
      </w:r>
      <w:r w:rsidRPr="00813664">
        <w:t>.”</w:t>
      </w:r>
    </w:p>
    <w:p w14:paraId="6CC24577" w14:textId="5CCB4310" w:rsidR="00F54A5D" w:rsidRPr="009C5640" w:rsidRDefault="00F54A5D" w:rsidP="00F54A5D">
      <w:pPr>
        <w:pStyle w:val="Quote"/>
        <w:spacing w:after="360"/>
        <w:ind w:left="2160" w:hanging="720"/>
        <w:rPr>
          <w:b/>
          <w:bCs/>
          <w:i w:val="0"/>
          <w:iCs w:val="0"/>
          <w:sz w:val="19"/>
          <w:szCs w:val="19"/>
        </w:rPr>
      </w:pPr>
      <w:r w:rsidRPr="009C5640">
        <w:rPr>
          <w:i w:val="0"/>
          <w:iCs w:val="0"/>
          <w:sz w:val="19"/>
          <w:szCs w:val="19"/>
        </w:rPr>
        <w:t>(</w:t>
      </w:r>
      <w:r w:rsidRPr="009C5640">
        <w:rPr>
          <w:i w:val="0"/>
          <w:iCs w:val="0"/>
          <w:sz w:val="19"/>
          <w:szCs w:val="19"/>
          <w:u w:val="single"/>
        </w:rPr>
        <w:t>Emphasis</w:t>
      </w:r>
      <w:r w:rsidRPr="009C5640">
        <w:rPr>
          <w:i w:val="0"/>
          <w:iCs w:val="0"/>
          <w:sz w:val="19"/>
          <w:szCs w:val="19"/>
        </w:rPr>
        <w:t xml:space="preserve"> ours)</w:t>
      </w:r>
    </w:p>
    <w:p w14:paraId="39E2A2B8" w14:textId="0E059ECD" w:rsidR="00CF2000" w:rsidRPr="00F51162" w:rsidRDefault="00CF2000" w:rsidP="00CF2000">
      <w:pPr>
        <w:pStyle w:val="Heading2"/>
        <w:rPr>
          <w:b/>
          <w:bCs/>
        </w:rPr>
      </w:pPr>
      <w:r>
        <w:t>Accordingly, the</w:t>
      </w:r>
      <w:r w:rsidRPr="00640951">
        <w:t xml:space="preserve"> level of demand and accessibility are key considerations in determining </w:t>
      </w:r>
      <w:r>
        <w:t>the</w:t>
      </w:r>
      <w:r w:rsidRPr="00640951">
        <w:t xml:space="preserve"> heights and densities </w:t>
      </w:r>
      <w:r>
        <w:t xml:space="preserve">that </w:t>
      </w:r>
      <w:r w:rsidRPr="00640951">
        <w:t xml:space="preserve">can be enabled.  </w:t>
      </w:r>
    </w:p>
    <w:p w14:paraId="783B2E2D" w14:textId="282D0870" w:rsidR="00F51162" w:rsidRDefault="00F51162" w:rsidP="00F51162">
      <w:pPr>
        <w:pStyle w:val="Heading2"/>
      </w:pPr>
      <w:r>
        <w:t>The approach adopted in the PDP is contrary to the approach adopted by other Tier 1 local authorities. For example:</w:t>
      </w:r>
    </w:p>
    <w:p w14:paraId="11676B0A" w14:textId="77777777" w:rsidR="00F51162" w:rsidRPr="0048015F" w:rsidRDefault="00F51162" w:rsidP="00F51162">
      <w:pPr>
        <w:pStyle w:val="Heading3"/>
      </w:pPr>
      <w:r>
        <w:t>In Auckland proposed</w:t>
      </w:r>
      <w:r w:rsidRPr="0048015F">
        <w:t xml:space="preserve"> changes to the City Centre zone include amendment of the general height control. This will enable: </w:t>
      </w:r>
    </w:p>
    <w:p w14:paraId="47820752" w14:textId="77777777" w:rsidR="00F51162" w:rsidRPr="0048015F" w:rsidRDefault="00F51162" w:rsidP="00F51162">
      <w:pPr>
        <w:pStyle w:val="Heading4"/>
      </w:pPr>
      <w:r>
        <w:t>U</w:t>
      </w:r>
      <w:r w:rsidRPr="0048015F">
        <w:t xml:space="preserve">nlimited building heights in the core city centre except where special height controls </w:t>
      </w:r>
      <w:proofErr w:type="gramStart"/>
      <w:r w:rsidRPr="0048015F">
        <w:t>apply;</w:t>
      </w:r>
      <w:proofErr w:type="gramEnd"/>
      <w:r w:rsidRPr="0048015F">
        <w:t xml:space="preserve"> </w:t>
      </w:r>
      <w:r w:rsidRPr="0048015F">
        <w:tab/>
      </w:r>
    </w:p>
    <w:p w14:paraId="625FA077" w14:textId="77777777" w:rsidR="00F51162" w:rsidRPr="0048015F" w:rsidRDefault="00F51162" w:rsidP="00F51162">
      <w:pPr>
        <w:pStyle w:val="Heading4"/>
      </w:pPr>
      <w:r>
        <w:t>H</w:t>
      </w:r>
      <w:r w:rsidRPr="0048015F">
        <w:t>eights up to 72.5 metres across the city centre, except where special height controls or other qualifying matters apply.</w:t>
      </w:r>
      <w:r w:rsidRPr="00CF2000">
        <w:rPr>
          <w:rStyle w:val="FootnoteReference"/>
        </w:rPr>
        <w:t xml:space="preserve"> </w:t>
      </w:r>
      <w:r w:rsidRPr="0048015F">
        <w:rPr>
          <w:rStyle w:val="FootnoteReference"/>
        </w:rPr>
        <w:footnoteReference w:id="3"/>
      </w:r>
    </w:p>
    <w:p w14:paraId="099BE09B" w14:textId="77777777" w:rsidR="00F51162" w:rsidRDefault="00F51162" w:rsidP="00F51162">
      <w:pPr>
        <w:pStyle w:val="Heading3"/>
      </w:pPr>
      <w:r w:rsidRPr="00CA5956">
        <w:lastRenderedPageBreak/>
        <w:t>Hutt City Council ha</w:t>
      </w:r>
      <w:r>
        <w:t>s</w:t>
      </w:r>
      <w:r w:rsidRPr="00CA5956">
        <w:t xml:space="preserve"> notified Plan Change 56 which seeks to implement the requirements of the NPS-UD and incorporate the MDRS.  The plan change deletes the maximum height of buildings and structures rule in the Central Commercial Activity Area zone.</w:t>
      </w:r>
      <w:bookmarkStart w:id="3" w:name="_Ref112244285"/>
      <w:r w:rsidRPr="00CA5956">
        <w:rPr>
          <w:rStyle w:val="FootnoteReference"/>
        </w:rPr>
        <w:footnoteReference w:id="4"/>
      </w:r>
      <w:bookmarkEnd w:id="3"/>
    </w:p>
    <w:p w14:paraId="3C0458F3" w14:textId="77777777" w:rsidR="00F51162" w:rsidRPr="004B6C9A" w:rsidRDefault="00F51162" w:rsidP="00F51162">
      <w:pPr>
        <w:pStyle w:val="Heading3"/>
      </w:pPr>
      <w:r w:rsidRPr="004B6C9A">
        <w:t xml:space="preserve">Porirua City Council has notified Variation 1 and Plan Change 19 to its district plan.  The plan </w:t>
      </w:r>
      <w:proofErr w:type="gramStart"/>
      <w:r w:rsidRPr="004B6C9A">
        <w:t>change</w:t>
      </w:r>
      <w:proofErr w:type="gramEnd"/>
      <w:r w:rsidRPr="004B6C9A">
        <w:t xml:space="preserve"> rezones the </w:t>
      </w:r>
      <w:r>
        <w:t>existing</w:t>
      </w:r>
      <w:r w:rsidRPr="004B6C9A">
        <w:t xml:space="preserve"> City Centre Zone to Metropolitan Centre Zone and increases building heights in the zone from 30m to 50m.</w:t>
      </w:r>
      <w:r w:rsidRPr="004B6C9A">
        <w:rPr>
          <w:rStyle w:val="FootnoteReference"/>
        </w:rPr>
        <w:footnoteReference w:id="5"/>
      </w:r>
    </w:p>
    <w:p w14:paraId="0DD5366D" w14:textId="77777777" w:rsidR="00F51162" w:rsidRPr="0099700C" w:rsidRDefault="00F51162" w:rsidP="00F51162">
      <w:pPr>
        <w:pStyle w:val="Heading3"/>
      </w:pPr>
      <w:r>
        <w:t>I</w:t>
      </w:r>
      <w:r w:rsidRPr="0099700C">
        <w:t>n implementing the NPS-UD</w:t>
      </w:r>
      <w:r>
        <w:t>, o</w:t>
      </w:r>
      <w:r w:rsidRPr="0099700C">
        <w:t xml:space="preserve">ther Tier 1 local authorities are </w:t>
      </w:r>
      <w:r>
        <w:t>applying</w:t>
      </w:r>
      <w:r w:rsidRPr="0099700C">
        <w:t xml:space="preserve"> higher height</w:t>
      </w:r>
      <w:r>
        <w:t xml:space="preserve"> limits</w:t>
      </w:r>
      <w:r w:rsidRPr="0099700C">
        <w:t xml:space="preserve"> in their city centre zones (or equivalent)</w:t>
      </w:r>
      <w:r>
        <w:t>, than that of WCC</w:t>
      </w:r>
      <w:r w:rsidRPr="0099700C">
        <w:t xml:space="preserve">.  </w:t>
      </w:r>
      <w:r>
        <w:t xml:space="preserve">As New Zealand’s capital city, without reference to a qualifying matter, </w:t>
      </w:r>
      <w:r w:rsidRPr="0099700C">
        <w:t xml:space="preserve">there is no justification for </w:t>
      </w:r>
      <w:r>
        <w:t>Wellington t</w:t>
      </w:r>
      <w:r w:rsidRPr="0099700C">
        <w:t>o have lesser height limi</w:t>
      </w:r>
      <w:r>
        <w:t>ts in its central business district than other Tier 1 local authorities</w:t>
      </w:r>
      <w:r w:rsidRPr="0099700C">
        <w:t>.</w:t>
      </w:r>
    </w:p>
    <w:p w14:paraId="6202DD91" w14:textId="43C5BFB4" w:rsidR="00DE420C" w:rsidRPr="00DE420C" w:rsidRDefault="00DE420C" w:rsidP="00CF2000">
      <w:pPr>
        <w:pStyle w:val="Heading2"/>
        <w:rPr>
          <w:b/>
          <w:bCs/>
        </w:rPr>
      </w:pPr>
      <w:r>
        <w:t xml:space="preserve">The </w:t>
      </w:r>
      <w:r w:rsidR="00047451">
        <w:t>NPS</w:t>
      </w:r>
      <w:r>
        <w:t xml:space="preserve">-UD recognises that it may be </w:t>
      </w:r>
      <w:r w:rsidR="001C09BB">
        <w:t xml:space="preserve">appropriate </w:t>
      </w:r>
      <w:r>
        <w:t xml:space="preserve">to modify the relevant building heights under </w:t>
      </w:r>
      <w:r w:rsidR="00B62555">
        <w:t>P</w:t>
      </w:r>
      <w:r>
        <w:t>olicy 3</w:t>
      </w:r>
      <w:r w:rsidR="001C09BB">
        <w:t xml:space="preserve"> (i.e., to provide less development capacity than is possible)</w:t>
      </w:r>
      <w:r>
        <w:t xml:space="preserve"> only to the extent necessary to accommodate a qualifying matter in that area.</w:t>
      </w:r>
      <w:bookmarkStart w:id="4" w:name="_Ref111713075"/>
      <w:r>
        <w:rPr>
          <w:rStyle w:val="FootnoteReference"/>
        </w:rPr>
        <w:footnoteReference w:id="6"/>
      </w:r>
      <w:bookmarkEnd w:id="4"/>
      <w:r w:rsidR="00B62555">
        <w:t xml:space="preserve"> The</w:t>
      </w:r>
      <w:r w:rsidR="001C09BB">
        <w:t xml:space="preserve"> Council has not identified specified qualifying matters which justify provision of less development capacity</w:t>
      </w:r>
      <w:r w:rsidR="00B62555">
        <w:t xml:space="preserve"> </w:t>
      </w:r>
      <w:r w:rsidR="00BE6BA2">
        <w:t xml:space="preserve">and </w:t>
      </w:r>
      <w:r w:rsidR="001C09BB">
        <w:t>has</w:t>
      </w:r>
      <w:r w:rsidR="00BE6BA2">
        <w:t xml:space="preserve"> not justified </w:t>
      </w:r>
      <w:r w:rsidR="001C09BB">
        <w:t xml:space="preserve">the </w:t>
      </w:r>
      <w:r w:rsidR="00BF0BC4">
        <w:t xml:space="preserve">proposed </w:t>
      </w:r>
      <w:r w:rsidR="001C09BB">
        <w:t xml:space="preserve">height limits </w:t>
      </w:r>
      <w:r w:rsidR="00BE6BA2">
        <w:t>in terms of section 32 of the RMA.</w:t>
      </w:r>
      <w:r w:rsidR="00B62555">
        <w:t xml:space="preserve"> </w:t>
      </w:r>
    </w:p>
    <w:p w14:paraId="1C0010C2" w14:textId="685B3D71" w:rsidR="009E34E9" w:rsidRDefault="001C09BB" w:rsidP="00BE6BA2">
      <w:pPr>
        <w:pStyle w:val="Heading2"/>
        <w:numPr>
          <w:ilvl w:val="0"/>
          <w:numId w:val="0"/>
        </w:numPr>
        <w:ind w:left="720"/>
        <w:rPr>
          <w:b/>
          <w:bCs/>
        </w:rPr>
      </w:pPr>
      <w:r>
        <w:rPr>
          <w:b/>
          <w:bCs/>
        </w:rPr>
        <w:t xml:space="preserve">Inappropriate focus on preservation of existing amenity </w:t>
      </w:r>
    </w:p>
    <w:p w14:paraId="1370120C" w14:textId="0E9285A6" w:rsidR="00EC08F7" w:rsidRDefault="001C09BB">
      <w:pPr>
        <w:pStyle w:val="Heading2"/>
      </w:pPr>
      <w:r>
        <w:t xml:space="preserve">The </w:t>
      </w:r>
      <w:r w:rsidR="005F56A5">
        <w:t xml:space="preserve">Council’s </w:t>
      </w:r>
      <w:r>
        <w:t xml:space="preserve">section 32 analysis </w:t>
      </w:r>
      <w:r w:rsidR="005F56A5">
        <w:t xml:space="preserve">prepared by the Council concludes that </w:t>
      </w:r>
      <w:r w:rsidR="00415EE2">
        <w:t>the “no height limits” option</w:t>
      </w:r>
      <w:r w:rsidR="005F56A5">
        <w:t xml:space="preserve"> most closely aligns with the policy directives in the NPS</w:t>
      </w:r>
      <w:r w:rsidR="00177773">
        <w:t>-</w:t>
      </w:r>
      <w:r w:rsidR="005F56A5">
        <w:t>UD</w:t>
      </w:r>
      <w:bookmarkStart w:id="5" w:name="_Ref112927351"/>
      <w:r w:rsidR="005F56A5" w:rsidRPr="00177773">
        <w:rPr>
          <w:rStyle w:val="FootnoteReference"/>
          <w:sz w:val="22"/>
        </w:rPr>
        <w:footnoteReference w:id="7"/>
      </w:r>
      <w:bookmarkEnd w:id="5"/>
      <w:r w:rsidR="005F56A5">
        <w:t xml:space="preserve"> but nevertheless conclude</w:t>
      </w:r>
      <w:r w:rsidR="00FD1216">
        <w:t>s</w:t>
      </w:r>
      <w:r w:rsidR="005F56A5">
        <w:t xml:space="preserve"> that height limits </w:t>
      </w:r>
      <w:r w:rsidR="00696F7B">
        <w:t xml:space="preserve">of 42.5m </w:t>
      </w:r>
      <w:r w:rsidR="00914FB9">
        <w:t xml:space="preserve">(10 storeys) </w:t>
      </w:r>
      <w:r w:rsidR="00696F7B">
        <w:t>in Te Aro and 28.5m</w:t>
      </w:r>
      <w:r w:rsidR="00914FB9">
        <w:t xml:space="preserve"> (8 storeys)</w:t>
      </w:r>
      <w:r w:rsidR="00696F7B">
        <w:t xml:space="preserve"> elsewhere in the </w:t>
      </w:r>
      <w:r w:rsidR="00A9317C">
        <w:t>City Centre Zone</w:t>
      </w:r>
      <w:r w:rsidR="00696F7B">
        <w:t xml:space="preserve"> </w:t>
      </w:r>
      <w:r w:rsidR="005F56A5">
        <w:t>are the most appropriate</w:t>
      </w:r>
      <w:r w:rsidR="00BA03F1">
        <w:t xml:space="preserve"> </w:t>
      </w:r>
      <w:r w:rsidR="00031A48">
        <w:t>outcome</w:t>
      </w:r>
      <w:r w:rsidR="005F56A5">
        <w:t xml:space="preserve">. </w:t>
      </w:r>
    </w:p>
    <w:p w14:paraId="7B6D614C" w14:textId="5B7F223E" w:rsidR="00415EE2" w:rsidRDefault="00EC08F7" w:rsidP="00567E03">
      <w:pPr>
        <w:pStyle w:val="Heading2"/>
      </w:pPr>
      <w:r>
        <w:t>None of t</w:t>
      </w:r>
      <w:r w:rsidR="005F56A5">
        <w:t xml:space="preserve">he reasons provided for this conclusion </w:t>
      </w:r>
      <w:r>
        <w:t>are justified in terms of the requirements of the NPS</w:t>
      </w:r>
      <w:r w:rsidR="00177773">
        <w:t>-</w:t>
      </w:r>
      <w:r>
        <w:t>UD. In this regard, the section 32 analysis states that</w:t>
      </w:r>
      <w:r w:rsidR="00415EE2">
        <w:t>:</w:t>
      </w:r>
    </w:p>
    <w:p w14:paraId="365C542A" w14:textId="7330ABA1" w:rsidR="00415EE2" w:rsidRDefault="00415EE2" w:rsidP="00415EE2">
      <w:pPr>
        <w:pStyle w:val="Heading3"/>
      </w:pPr>
      <w:r>
        <w:lastRenderedPageBreak/>
        <w:t>T</w:t>
      </w:r>
      <w:r w:rsidR="00EC08F7">
        <w:t>he preferred option “</w:t>
      </w:r>
      <w:r w:rsidR="00EC08F7" w:rsidRPr="00415EE2">
        <w:t>provides an appropriate balance</w:t>
      </w:r>
      <w:r w:rsidR="00EC08F7">
        <w:t>” between enabling growth and “</w:t>
      </w:r>
      <w:r w:rsidR="00EC08F7" w:rsidRPr="00415EE2">
        <w:t>ensuring measures are in place to preserve amenity and manage adverse effects</w:t>
      </w:r>
      <w:r w:rsidR="00EC08F7">
        <w:t>.”</w:t>
      </w:r>
      <w:r w:rsidR="0080341E" w:rsidRPr="00177773">
        <w:rPr>
          <w:rStyle w:val="FootnoteReference"/>
          <w:sz w:val="22"/>
        </w:rPr>
        <w:footnoteReference w:id="8"/>
      </w:r>
    </w:p>
    <w:p w14:paraId="10868C2E" w14:textId="261D4941" w:rsidR="00EC08F7" w:rsidRDefault="00415EE2" w:rsidP="00415EE2">
      <w:pPr>
        <w:pStyle w:val="Heading3"/>
      </w:pPr>
      <w:r>
        <w:t xml:space="preserve">The </w:t>
      </w:r>
      <w:r w:rsidR="0080341E">
        <w:t>preferred option adopts an approach that</w:t>
      </w:r>
      <w:r>
        <w:t xml:space="preserve"> is “well established in the ODP, entrenched in case law and supported by evidence”.</w:t>
      </w:r>
      <w:r w:rsidR="0080341E" w:rsidRPr="0017336F">
        <w:rPr>
          <w:rStyle w:val="FootnoteReference"/>
          <w:sz w:val="22"/>
          <w:szCs w:val="22"/>
        </w:rPr>
        <w:footnoteReference w:id="9"/>
      </w:r>
      <w:r w:rsidR="0080341E" w:rsidRPr="0017336F">
        <w:rPr>
          <w:vertAlign w:val="superscript"/>
        </w:rPr>
        <w:t xml:space="preserve"> </w:t>
      </w:r>
      <w:r w:rsidR="0080341E">
        <w:t xml:space="preserve"> </w:t>
      </w:r>
      <w:r>
        <w:t xml:space="preserve"> </w:t>
      </w:r>
    </w:p>
    <w:p w14:paraId="346633EE" w14:textId="004A6775" w:rsidR="00415EE2" w:rsidRDefault="0080341E" w:rsidP="0017336F">
      <w:pPr>
        <w:pStyle w:val="Heading3"/>
      </w:pPr>
      <w:r>
        <w:t xml:space="preserve">The “no height limits” option would </w:t>
      </w:r>
      <w:r w:rsidRPr="00A82BC1">
        <w:t>“potentially overcompensate” on the intensification policy direction of the NPS at the expense of creating ‘well-functioning urban environments</w:t>
      </w:r>
      <w:r w:rsidR="00B83AB4" w:rsidRPr="00A82BC1">
        <w:t>”.</w:t>
      </w:r>
      <w:r w:rsidRPr="00A82BC1">
        <w:rPr>
          <w:rStyle w:val="FootnoteReference"/>
          <w:sz w:val="22"/>
        </w:rPr>
        <w:footnoteReference w:id="10"/>
      </w:r>
      <w:r w:rsidR="00415EE2">
        <w:t xml:space="preserve"> </w:t>
      </w:r>
    </w:p>
    <w:p w14:paraId="1C6FC5AA" w14:textId="6B4CA94F" w:rsidR="00B83AB4" w:rsidRPr="00C43929" w:rsidRDefault="00B83AB4" w:rsidP="00D075E2">
      <w:pPr>
        <w:pStyle w:val="Heading2"/>
      </w:pPr>
      <w:r>
        <w:t xml:space="preserve">Policy 4 </w:t>
      </w:r>
      <w:r w:rsidR="00455CBF">
        <w:t>of the NP</w:t>
      </w:r>
      <w:r w:rsidR="006F489A">
        <w:t>S</w:t>
      </w:r>
      <w:r w:rsidR="00455CBF">
        <w:t xml:space="preserve">-UD </w:t>
      </w:r>
      <w:r>
        <w:t>indicates that only a qualifying matter may</w:t>
      </w:r>
      <w:r w:rsidR="000805C3">
        <w:t xml:space="preserve"> justif</w:t>
      </w:r>
      <w:r>
        <w:t>y</w:t>
      </w:r>
      <w:r w:rsidR="000805C3">
        <w:t xml:space="preserve"> </w:t>
      </w:r>
      <w:r>
        <w:t xml:space="preserve">modifications to the requirement to provide “as much height as possible”.  </w:t>
      </w:r>
      <w:r w:rsidR="000805C3">
        <w:t xml:space="preserve"> </w:t>
      </w:r>
      <w:r w:rsidRPr="00C43929">
        <w:t>The preservation of existing amenity is not a specified qualifying matter</w:t>
      </w:r>
      <w:r w:rsidR="0018200C" w:rsidRPr="00C43929">
        <w:t xml:space="preserve">. </w:t>
      </w:r>
      <w:r w:rsidRPr="00C43929">
        <w:t xml:space="preserve"> </w:t>
      </w:r>
    </w:p>
    <w:p w14:paraId="792E6078" w14:textId="77777777" w:rsidR="008F1E41" w:rsidRDefault="008F1E41" w:rsidP="008F1E41">
      <w:pPr>
        <w:pStyle w:val="Heading2"/>
      </w:pPr>
      <w:r>
        <w:t xml:space="preserve">The section 32 analysis incorrectly suggests that the requirements of Policy 3 should be limited by the requirement to create “well-functioning urban environments”, on the basis that unlimited height limits would adversely affect existing amenity. </w:t>
      </w:r>
    </w:p>
    <w:p w14:paraId="0337C878" w14:textId="1140EF70" w:rsidR="008F1E41" w:rsidRDefault="008F1E41" w:rsidP="008F1E41">
      <w:pPr>
        <w:pStyle w:val="Heading2"/>
      </w:pPr>
      <w:r>
        <w:t>The term “well-functioning urban environments” has the meaning set out in Policy 1 of the NPS-UD.  This includes urban environments that, as a minimum</w:t>
      </w:r>
      <w:r w:rsidRPr="00436F90">
        <w:rPr>
          <w:i/>
          <w:iCs/>
        </w:rPr>
        <w:t>, “have or enable a variety of sites that are suitable for different business sectors in terms of location and site size”</w:t>
      </w:r>
      <w:r>
        <w:t xml:space="preserve">, have good accessibility between housing and jobs including by way of public transport and </w:t>
      </w:r>
      <w:r w:rsidRPr="00436F90">
        <w:rPr>
          <w:i/>
          <w:iCs/>
        </w:rPr>
        <w:t>“support reductions in greenhouse gas emissions”.</w:t>
      </w:r>
      <w:r>
        <w:t xml:space="preserve">  A well-functioning urban </w:t>
      </w:r>
      <w:r w:rsidRPr="00335BC7">
        <w:t>environment</w:t>
      </w:r>
      <w:r>
        <w:t xml:space="preserve"> does not include the preservation of existing amenity.  To the contrary:</w:t>
      </w:r>
    </w:p>
    <w:p w14:paraId="0E12543A" w14:textId="77777777" w:rsidR="008F1E41" w:rsidRDefault="008F1E41" w:rsidP="008F1E41">
      <w:pPr>
        <w:pStyle w:val="Heading3"/>
      </w:pPr>
      <w:r>
        <w:t xml:space="preserve">Objective 4 of the NPS-UD recognises that urban environments, including their amenity values, are responsive and develop and change over </w:t>
      </w:r>
      <w:proofErr w:type="gramStart"/>
      <w:r>
        <w:t>time;</w:t>
      </w:r>
      <w:proofErr w:type="gramEnd"/>
    </w:p>
    <w:p w14:paraId="7035E420" w14:textId="77777777" w:rsidR="008F1E41" w:rsidRDefault="008F1E41" w:rsidP="008F1E41">
      <w:pPr>
        <w:pStyle w:val="Heading3"/>
      </w:pPr>
      <w:r>
        <w:t>Policy 6 of the NPS-UD identifies that significant changes to an area may detract from amenity values appreciated by some, but improve amenity values appreciated by others, and that change in and of itself is not an adverse effect.</w:t>
      </w:r>
    </w:p>
    <w:p w14:paraId="07E07FE2" w14:textId="77777777" w:rsidR="00D24596" w:rsidRDefault="00D24596" w:rsidP="008F1E41">
      <w:pPr>
        <w:pStyle w:val="Heading2"/>
      </w:pPr>
      <w:r>
        <w:lastRenderedPageBreak/>
        <w:t xml:space="preserve">The effect of the NPS-UD is to establish a new direction for urban planning towards significantly greater intensity, </w:t>
      </w:r>
      <w:proofErr w:type="gramStart"/>
      <w:r>
        <w:t>in order to</w:t>
      </w:r>
      <w:proofErr w:type="gramEnd"/>
      <w:r>
        <w:t xml:space="preserve"> achieve more development capacity and well-functioning urban environments. As such:</w:t>
      </w:r>
    </w:p>
    <w:p w14:paraId="1D49DEAE" w14:textId="239CC48D" w:rsidR="00D24596" w:rsidRDefault="00D24596" w:rsidP="00D24596">
      <w:pPr>
        <w:pStyle w:val="Heading3"/>
      </w:pPr>
      <w:r>
        <w:t xml:space="preserve">There is an expectation that planning outcomes will be different to those that were enabled in the </w:t>
      </w:r>
      <w:proofErr w:type="gramStart"/>
      <w:r>
        <w:t>past</w:t>
      </w:r>
      <w:r w:rsidR="00A164C2">
        <w:t>;</w:t>
      </w:r>
      <w:proofErr w:type="gramEnd"/>
    </w:p>
    <w:p w14:paraId="5E7D932A" w14:textId="502D1D3B" w:rsidR="008F1E41" w:rsidRDefault="00D24596" w:rsidP="00D24596">
      <w:pPr>
        <w:pStyle w:val="Heading3"/>
      </w:pPr>
      <w:r>
        <w:t>T</w:t>
      </w:r>
      <w:r w:rsidR="008F1E41">
        <w:t>here is an expectation that implementation of the NPS-UD will result in changes to amenity values over time</w:t>
      </w:r>
      <w:r>
        <w:t xml:space="preserve">; and </w:t>
      </w:r>
    </w:p>
    <w:p w14:paraId="272A9E93" w14:textId="56C7A30D" w:rsidR="00D24596" w:rsidRDefault="00D24596" w:rsidP="00D24596">
      <w:pPr>
        <w:pStyle w:val="Heading3"/>
      </w:pPr>
      <w:r>
        <w:t xml:space="preserve">There is no tension between the NPS-UD imperative to create well-functioning urban environments and the imperative to deliver as much development capacity as possible. </w:t>
      </w:r>
    </w:p>
    <w:p w14:paraId="714F903B" w14:textId="389B7691" w:rsidR="001D715D" w:rsidRPr="001D715D" w:rsidRDefault="00C43929" w:rsidP="00C43929">
      <w:pPr>
        <w:pStyle w:val="Heading2"/>
      </w:pPr>
      <w:r>
        <w:t>The fact that height limits are used in the ODP and “entrenched in case law” are not relevant matters</w:t>
      </w:r>
      <w:r w:rsidR="008F1E41">
        <w:t>. In this regard,</w:t>
      </w:r>
      <w:r w:rsidR="00095A8C" w:rsidRPr="00095A8C">
        <w:t xml:space="preserve"> </w:t>
      </w:r>
      <w:r w:rsidRPr="00095A8C">
        <w:t xml:space="preserve">decisions of the </w:t>
      </w:r>
      <w:r w:rsidR="00D564D6">
        <w:t>c</w:t>
      </w:r>
      <w:r w:rsidRPr="00095A8C">
        <w:t>ourt</w:t>
      </w:r>
      <w:r w:rsidR="00095A8C" w:rsidRPr="00095A8C">
        <w:t>s</w:t>
      </w:r>
      <w:r w:rsidRPr="00095A8C">
        <w:t xml:space="preserve"> issued prior to the </w:t>
      </w:r>
      <w:r w:rsidR="00ED4632" w:rsidRPr="00095A8C">
        <w:t>commencement of</w:t>
      </w:r>
      <w:r w:rsidRPr="00095A8C">
        <w:t xml:space="preserve"> the NPS</w:t>
      </w:r>
      <w:r w:rsidR="00177773" w:rsidRPr="00095A8C">
        <w:t>-</w:t>
      </w:r>
      <w:r w:rsidRPr="00095A8C">
        <w:t xml:space="preserve">UD </w:t>
      </w:r>
      <w:r w:rsidR="009A4E24">
        <w:t xml:space="preserve">on 20 August 2020 </w:t>
      </w:r>
      <w:r w:rsidR="008F1E41">
        <w:t>are</w:t>
      </w:r>
      <w:r w:rsidR="008F1E41" w:rsidRPr="00095A8C">
        <w:t xml:space="preserve"> </w:t>
      </w:r>
      <w:r w:rsidRPr="00095A8C">
        <w:t>irrelevant.</w:t>
      </w:r>
    </w:p>
    <w:p w14:paraId="4FA64BB0" w14:textId="45AD5369" w:rsidR="0015752A" w:rsidRPr="00036C9A" w:rsidRDefault="0015752A" w:rsidP="00847130">
      <w:pPr>
        <w:pStyle w:val="Heading2"/>
        <w:keepNext/>
        <w:numPr>
          <w:ilvl w:val="0"/>
          <w:numId w:val="0"/>
        </w:numPr>
        <w:ind w:left="720"/>
        <w:rPr>
          <w:b/>
          <w:bCs/>
        </w:rPr>
      </w:pPr>
      <w:r>
        <w:rPr>
          <w:b/>
          <w:bCs/>
        </w:rPr>
        <w:t>Insufficient analysis</w:t>
      </w:r>
      <w:r w:rsidR="0091503C">
        <w:rPr>
          <w:b/>
          <w:bCs/>
        </w:rPr>
        <w:t xml:space="preserve"> undertaken</w:t>
      </w:r>
    </w:p>
    <w:p w14:paraId="12FF5C39" w14:textId="2F4A56D1" w:rsidR="00840EF3" w:rsidRDefault="00840EF3" w:rsidP="00C050A3">
      <w:pPr>
        <w:pStyle w:val="Heading2"/>
      </w:pPr>
      <w:r>
        <w:t>The section 32 analysis fails to</w:t>
      </w:r>
      <w:r w:rsidR="00574C23" w:rsidRPr="00574C23">
        <w:t xml:space="preserve"> </w:t>
      </w:r>
      <w:r w:rsidR="00574C23">
        <w:t>adequately</w:t>
      </w:r>
      <w:r w:rsidR="00703218">
        <w:t xml:space="preserve"> identify</w:t>
      </w:r>
      <w:r>
        <w:t>:</w:t>
      </w:r>
    </w:p>
    <w:p w14:paraId="2C7F2BF6" w14:textId="6D6FF880" w:rsidR="00840EF3" w:rsidRDefault="00703218" w:rsidP="00840EF3">
      <w:pPr>
        <w:pStyle w:val="Heading3"/>
      </w:pPr>
      <w:r>
        <w:t>T</w:t>
      </w:r>
      <w:r w:rsidR="00840EF3">
        <w:t>he</w:t>
      </w:r>
      <w:r w:rsidR="00AB7914">
        <w:t xml:space="preserve"> </w:t>
      </w:r>
      <w:r w:rsidR="008B7490">
        <w:t xml:space="preserve">adverse effects </w:t>
      </w:r>
      <w:r w:rsidR="00840EF3">
        <w:t>that may arise</w:t>
      </w:r>
      <w:r w:rsidR="00AB7914">
        <w:t xml:space="preserve"> </w:t>
      </w:r>
      <w:proofErr w:type="gramStart"/>
      <w:r w:rsidR="00AB7914">
        <w:t>as a result of</w:t>
      </w:r>
      <w:proofErr w:type="gramEnd"/>
      <w:r w:rsidR="00AB7914">
        <w:t xml:space="preserve"> greater or unlimited height limits in the City Centre Zone.</w:t>
      </w:r>
    </w:p>
    <w:p w14:paraId="32A961C7" w14:textId="5BB6D8D3" w:rsidR="00AB7914" w:rsidRDefault="00703218" w:rsidP="006215C5">
      <w:pPr>
        <w:pStyle w:val="Heading3"/>
      </w:pPr>
      <w:r>
        <w:t>T</w:t>
      </w:r>
      <w:r w:rsidR="00AB7914">
        <w:t xml:space="preserve">o what extent the adverse effects would </w:t>
      </w:r>
      <w:r w:rsidR="00825C26">
        <w:t xml:space="preserve">undermine </w:t>
      </w:r>
      <w:r w:rsidR="00840EF3">
        <w:t xml:space="preserve">the creation of a </w:t>
      </w:r>
      <w:r w:rsidR="005C7C50">
        <w:t>“</w:t>
      </w:r>
      <w:r w:rsidR="00825C26">
        <w:t>well-functioning urban environment</w:t>
      </w:r>
      <w:r w:rsidR="005C7C50">
        <w:t xml:space="preserve">” </w:t>
      </w:r>
      <w:r w:rsidR="00825C26">
        <w:t xml:space="preserve">or </w:t>
      </w:r>
      <w:r w:rsidR="00AB7914">
        <w:t xml:space="preserve">outweigh the benefit of providing “as much development capacity as possible”.  </w:t>
      </w:r>
    </w:p>
    <w:p w14:paraId="425966DF" w14:textId="02109F10" w:rsidR="0050728D" w:rsidRPr="004416CD" w:rsidRDefault="00840EF3" w:rsidP="00441CAE">
      <w:pPr>
        <w:pStyle w:val="Heading2"/>
        <w:rPr>
          <w:i/>
          <w:iCs/>
        </w:rPr>
      </w:pPr>
      <w:r>
        <w:t xml:space="preserve">The section 32 analysis therefore provides insufficient justification for </w:t>
      </w:r>
      <w:r w:rsidR="003D1994">
        <w:t xml:space="preserve">the height limit controls </w:t>
      </w:r>
      <w:r w:rsidR="00D52DA9">
        <w:t>in the City Centre Zone</w:t>
      </w:r>
      <w:r w:rsidR="006215C5">
        <w:t>.</w:t>
      </w:r>
    </w:p>
    <w:p w14:paraId="3644EEC0" w14:textId="130BEED4" w:rsidR="00840EF3" w:rsidRPr="00840EF3" w:rsidRDefault="00F51162" w:rsidP="00D12042">
      <w:pPr>
        <w:pStyle w:val="Heading2"/>
        <w:keepNext/>
        <w:numPr>
          <w:ilvl w:val="0"/>
          <w:numId w:val="0"/>
        </w:numPr>
        <w:ind w:left="720"/>
        <w:rPr>
          <w:b/>
          <w:bCs/>
        </w:rPr>
      </w:pPr>
      <w:r>
        <w:rPr>
          <w:b/>
          <w:bCs/>
        </w:rPr>
        <w:t>Submission - u</w:t>
      </w:r>
      <w:r w:rsidR="00840EF3" w:rsidRPr="00840EF3">
        <w:rPr>
          <w:b/>
          <w:bCs/>
        </w:rPr>
        <w:t xml:space="preserve">nlimited height controls are the most appropriate </w:t>
      </w:r>
      <w:r w:rsidR="00840EF3">
        <w:rPr>
          <w:b/>
          <w:bCs/>
        </w:rPr>
        <w:t>option</w:t>
      </w:r>
    </w:p>
    <w:p w14:paraId="03FF8787" w14:textId="77777777" w:rsidR="00F51162" w:rsidRDefault="00F51162" w:rsidP="00F51162">
      <w:pPr>
        <w:pStyle w:val="Heading2"/>
      </w:pPr>
      <w:r w:rsidRPr="00773544">
        <w:t xml:space="preserve">The approach taken by WCC </w:t>
      </w:r>
      <w:r>
        <w:t>reflects</w:t>
      </w:r>
      <w:r w:rsidRPr="00773544">
        <w:t xml:space="preserve"> a do-minim</w:t>
      </w:r>
      <w:r>
        <w:t>um</w:t>
      </w:r>
      <w:r w:rsidRPr="00773544">
        <w:t xml:space="preserve"> approach rather than enabling as much development capacity as possible and then assessing to what extent if any, that is required to be modified due to a qualifying matter.</w:t>
      </w:r>
    </w:p>
    <w:p w14:paraId="17913074" w14:textId="4B838E23" w:rsidR="003B01E1" w:rsidRDefault="00CF2000" w:rsidP="00A51A37">
      <w:pPr>
        <w:pStyle w:val="Heading2"/>
      </w:pPr>
      <w:r w:rsidRPr="00640951">
        <w:t>The City Centre in Wellington is serviced by public buses and multiple rail lines.  Commuters also travel into the city by private motor vehicle</w:t>
      </w:r>
      <w:r w:rsidRPr="000301B1">
        <w:t xml:space="preserve">.  </w:t>
      </w:r>
      <w:r w:rsidR="000B3107">
        <w:t>Providing</w:t>
      </w:r>
      <w:r w:rsidR="000B3107" w:rsidRPr="000301B1">
        <w:t xml:space="preserve"> </w:t>
      </w:r>
      <w:r w:rsidR="003B01E1">
        <w:t>unlimited building height</w:t>
      </w:r>
      <w:r>
        <w:t xml:space="preserve"> </w:t>
      </w:r>
      <w:r w:rsidRPr="000301B1">
        <w:t xml:space="preserve">in the central business district </w:t>
      </w:r>
      <w:r w:rsidR="00436F90">
        <w:t>would</w:t>
      </w:r>
      <w:r w:rsidR="003B01E1">
        <w:t>:</w:t>
      </w:r>
    </w:p>
    <w:p w14:paraId="615D1F80" w14:textId="7DDE9F69" w:rsidR="003B01E1" w:rsidRDefault="003B01E1" w:rsidP="003B01E1">
      <w:pPr>
        <w:pStyle w:val="Heading3"/>
      </w:pPr>
      <w:r>
        <w:lastRenderedPageBreak/>
        <w:t>E</w:t>
      </w:r>
      <w:r w:rsidR="00436F90">
        <w:t>nable the tallest buildings to be built close to central public transport routes,</w:t>
      </w:r>
      <w:r w:rsidRPr="000301B1">
        <w:t xml:space="preserve"> including </w:t>
      </w:r>
      <w:r>
        <w:t xml:space="preserve">those identified as </w:t>
      </w:r>
      <w:r w:rsidRPr="000301B1">
        <w:t>rapid transit</w:t>
      </w:r>
      <w:r>
        <w:t xml:space="preserve"> in both the DDP and the RLTP</w:t>
      </w:r>
      <w:r w:rsidR="007542A3">
        <w:t xml:space="preserve"> </w:t>
      </w:r>
      <w:proofErr w:type="gramStart"/>
      <w:r w:rsidR="007542A3">
        <w:t>2021</w:t>
      </w:r>
      <w:r>
        <w:t>;</w:t>
      </w:r>
      <w:proofErr w:type="gramEnd"/>
    </w:p>
    <w:p w14:paraId="146708C4" w14:textId="3D49AA8E" w:rsidR="003B01E1" w:rsidRDefault="00D12042" w:rsidP="003B01E1">
      <w:pPr>
        <w:pStyle w:val="Heading3"/>
      </w:pPr>
      <w:r>
        <w:t>C</w:t>
      </w:r>
      <w:r w:rsidR="006215C5">
        <w:t>ontribute</w:t>
      </w:r>
      <w:r w:rsidR="00436F90">
        <w:t xml:space="preserve"> to well</w:t>
      </w:r>
      <w:r w:rsidR="00436F90">
        <w:noBreakHyphen/>
        <w:t xml:space="preserve">functioning urban environments by providing good accessibility between housing and </w:t>
      </w:r>
      <w:proofErr w:type="gramStart"/>
      <w:r w:rsidR="00436F90">
        <w:t>jobs</w:t>
      </w:r>
      <w:r w:rsidR="00CE512E">
        <w:t>;</w:t>
      </w:r>
      <w:proofErr w:type="gramEnd"/>
    </w:p>
    <w:p w14:paraId="16809E83" w14:textId="788CE630" w:rsidR="00283401" w:rsidRDefault="00972B2C" w:rsidP="004159AC">
      <w:pPr>
        <w:pStyle w:val="Heading3"/>
      </w:pPr>
      <w:r>
        <w:t>F</w:t>
      </w:r>
      <w:r w:rsidR="00283401" w:rsidRPr="00283401">
        <w:t>acilitate regeneration</w:t>
      </w:r>
      <w:r w:rsidR="00447987">
        <w:t>,</w:t>
      </w:r>
      <w:r w:rsidR="00283401" w:rsidRPr="00283401">
        <w:t xml:space="preserve"> </w:t>
      </w:r>
      <w:proofErr w:type="gramStart"/>
      <w:r w:rsidR="00447987">
        <w:t>i.e.</w:t>
      </w:r>
      <w:proofErr w:type="gramEnd"/>
      <w:r w:rsidR="00447987">
        <w:t xml:space="preserve"> investment and economic growth, </w:t>
      </w:r>
      <w:r w:rsidR="00B9071D">
        <w:t>in the city centre</w:t>
      </w:r>
      <w:r w:rsidR="00B9071D" w:rsidRPr="00283401">
        <w:t xml:space="preserve"> </w:t>
      </w:r>
      <w:r w:rsidR="00283401" w:rsidRPr="00283401">
        <w:t xml:space="preserve">of an appropriate scale and form with </w:t>
      </w:r>
      <w:r w:rsidR="007A0B2B">
        <w:t xml:space="preserve">the </w:t>
      </w:r>
      <w:r w:rsidR="00283401" w:rsidRPr="00283401">
        <w:t>surrounding development</w:t>
      </w:r>
      <w:r w:rsidR="00DE6A35">
        <w:t>;</w:t>
      </w:r>
    </w:p>
    <w:p w14:paraId="3EAF79CC" w14:textId="393179E3" w:rsidR="00972B2C" w:rsidRDefault="00972B2C" w:rsidP="004159AC">
      <w:pPr>
        <w:pStyle w:val="Heading3"/>
      </w:pPr>
      <w:r>
        <w:t>Support</w:t>
      </w:r>
      <w:r w:rsidR="00AF31FC">
        <w:t xml:space="preserve"> the primacy of the </w:t>
      </w:r>
      <w:r w:rsidR="00CE6CC5" w:rsidRPr="00CE6CC5">
        <w:t>central city (City Centre Zone)</w:t>
      </w:r>
      <w:r w:rsidR="00CE6CC5">
        <w:t xml:space="preserve"> </w:t>
      </w:r>
      <w:r w:rsidR="00AF31FC">
        <w:t>for commercial development</w:t>
      </w:r>
      <w:r w:rsidR="008F4575">
        <w:t xml:space="preserve"> and, in doing so, increase the vibrancy of the city </w:t>
      </w:r>
      <w:proofErr w:type="gramStart"/>
      <w:r w:rsidR="008F4575">
        <w:t>centre</w:t>
      </w:r>
      <w:r>
        <w:t>;</w:t>
      </w:r>
      <w:proofErr w:type="gramEnd"/>
      <w:r w:rsidR="00AF31FC">
        <w:t xml:space="preserve">  </w:t>
      </w:r>
    </w:p>
    <w:p w14:paraId="39E70483" w14:textId="77777777" w:rsidR="00601120" w:rsidRDefault="00972B2C" w:rsidP="004159AC">
      <w:pPr>
        <w:pStyle w:val="Heading3"/>
      </w:pPr>
      <w:r>
        <w:t>E</w:t>
      </w:r>
      <w:r w:rsidR="00D56018" w:rsidRPr="00D56018">
        <w:t>nabl</w:t>
      </w:r>
      <w:r>
        <w:t>e</w:t>
      </w:r>
      <w:r w:rsidR="00D56018" w:rsidRPr="00D56018">
        <w:t xml:space="preserve"> efficient use of land</w:t>
      </w:r>
      <w:r w:rsidR="00656B8C">
        <w:t xml:space="preserve">, reducing urban sprawl and </w:t>
      </w:r>
      <w:r w:rsidR="00D56018" w:rsidRPr="00D56018">
        <w:t>creat</w:t>
      </w:r>
      <w:r w:rsidR="00656B8C">
        <w:t>ing</w:t>
      </w:r>
      <w:r w:rsidR="00D56018" w:rsidRPr="00D56018">
        <w:t xml:space="preserve"> a balance between greenfields expansion and growth in existing </w:t>
      </w:r>
      <w:proofErr w:type="gramStart"/>
      <w:r w:rsidR="00D56018" w:rsidRPr="00D56018">
        <w:t>areas</w:t>
      </w:r>
      <w:r w:rsidR="00D56018">
        <w:t>;</w:t>
      </w:r>
      <w:proofErr w:type="gramEnd"/>
      <w:r w:rsidR="00474593">
        <w:t xml:space="preserve"> </w:t>
      </w:r>
    </w:p>
    <w:p w14:paraId="46B262F0" w14:textId="3114868F" w:rsidR="00D56018" w:rsidRDefault="001912B5" w:rsidP="00A57317">
      <w:pPr>
        <w:pStyle w:val="Heading3"/>
      </w:pPr>
      <w:r>
        <w:t>Provide greater opportunities for residential development</w:t>
      </w:r>
      <w:r w:rsidR="00B07413">
        <w:t xml:space="preserve"> close to employment opportunities and transport links</w:t>
      </w:r>
      <w:r>
        <w:t>, thereby r</w:t>
      </w:r>
      <w:r w:rsidR="00601120">
        <w:t>educ</w:t>
      </w:r>
      <w:r>
        <w:t>ing</w:t>
      </w:r>
      <w:r w:rsidR="00601120">
        <w:t xml:space="preserve"> inner-city housing prices;</w:t>
      </w:r>
      <w:r w:rsidR="00A5176E">
        <w:t xml:space="preserve"> </w:t>
      </w:r>
      <w:r w:rsidR="00474593">
        <w:t>and</w:t>
      </w:r>
    </w:p>
    <w:p w14:paraId="6A77C73C" w14:textId="347BDBDE" w:rsidR="00436F90" w:rsidRDefault="00B2153B" w:rsidP="004159AC">
      <w:pPr>
        <w:pStyle w:val="Heading3"/>
      </w:pPr>
      <w:r>
        <w:t>R</w:t>
      </w:r>
      <w:r w:rsidR="00436F90">
        <w:t>educe greenhouse gas emissions</w:t>
      </w:r>
      <w:r w:rsidR="003B01E1">
        <w:t>.</w:t>
      </w:r>
    </w:p>
    <w:p w14:paraId="640545B2" w14:textId="784E5F00" w:rsidR="00D63C44" w:rsidRPr="00A753A6" w:rsidRDefault="00D63C44" w:rsidP="00F77EE9">
      <w:pPr>
        <w:pStyle w:val="SubTitleBold"/>
      </w:pPr>
      <w:r w:rsidRPr="00A753A6">
        <w:t>Relief sought</w:t>
      </w:r>
    </w:p>
    <w:p w14:paraId="5DC9635B" w14:textId="77777777" w:rsidR="00A753A6" w:rsidRPr="00405E3A" w:rsidRDefault="00A753A6" w:rsidP="00A753A6">
      <w:pPr>
        <w:pStyle w:val="Heading2"/>
      </w:pPr>
      <w:bookmarkStart w:id="6" w:name="_Ref110949542"/>
      <w:r w:rsidRPr="00405E3A">
        <w:t>The following relief is sought:</w:t>
      </w:r>
      <w:bookmarkEnd w:id="6"/>
    </w:p>
    <w:p w14:paraId="4BE8646D" w14:textId="645D67C0" w:rsidR="00340EE3" w:rsidRPr="00FE49EC" w:rsidRDefault="004F03BA" w:rsidP="00FE49EC">
      <w:pPr>
        <w:pStyle w:val="Heading3"/>
      </w:pPr>
      <w:r w:rsidRPr="00FE49EC">
        <w:t>Deletion of the height limit controls in the City Centre Zone</w:t>
      </w:r>
      <w:r w:rsidR="00FE49EC" w:rsidRPr="00FE49EC">
        <w:t>.</w:t>
      </w:r>
    </w:p>
    <w:p w14:paraId="3B29C35B" w14:textId="2B9C12FF" w:rsidR="006F1393" w:rsidRDefault="004170F6" w:rsidP="00F51162">
      <w:pPr>
        <w:pStyle w:val="Heading1"/>
        <w:keepLines/>
      </w:pPr>
      <w:r w:rsidRPr="002D04C1">
        <w:t>Walkable catchments</w:t>
      </w:r>
    </w:p>
    <w:p w14:paraId="684D0946" w14:textId="77777777" w:rsidR="00864A08" w:rsidRPr="00864A08" w:rsidRDefault="00864A08" w:rsidP="00F51162">
      <w:pPr>
        <w:pStyle w:val="Heading2"/>
        <w:keepNext/>
        <w:keepLines/>
        <w:numPr>
          <w:ilvl w:val="0"/>
          <w:numId w:val="0"/>
        </w:numPr>
        <w:ind w:left="720"/>
        <w:rPr>
          <w:b/>
          <w:bCs/>
        </w:rPr>
      </w:pPr>
      <w:r w:rsidRPr="00864A08">
        <w:rPr>
          <w:b/>
          <w:bCs/>
        </w:rPr>
        <w:t>Issue</w:t>
      </w:r>
    </w:p>
    <w:p w14:paraId="37D0C7B3" w14:textId="3D32D316" w:rsidR="00341B01" w:rsidRDefault="00E241E2" w:rsidP="002D07D3">
      <w:pPr>
        <w:pStyle w:val="Heading2"/>
      </w:pPr>
      <w:r>
        <w:t xml:space="preserve">In preparing the PDP, WCC has used walking catchments of 10 minutes within the city centre, </w:t>
      </w:r>
      <w:r w:rsidR="00F51162">
        <w:t xml:space="preserve">around </w:t>
      </w:r>
      <w:r w:rsidRPr="00E241E2">
        <w:t>Tawa and Kenepuru stations</w:t>
      </w:r>
      <w:r>
        <w:t xml:space="preserve"> and 5</w:t>
      </w:r>
      <w:r w:rsidR="00341B01">
        <w:t> </w:t>
      </w:r>
      <w:r>
        <w:t xml:space="preserve">minutes </w:t>
      </w:r>
      <w:r w:rsidRPr="00E241E2">
        <w:t xml:space="preserve">around the other stations designated as rapid transit along the Hutt/Melling Kapiti </w:t>
      </w:r>
      <w:r w:rsidR="00341B01">
        <w:t xml:space="preserve">rail </w:t>
      </w:r>
      <w:r w:rsidRPr="00E241E2">
        <w:t>lines</w:t>
      </w:r>
      <w:r>
        <w:t xml:space="preserve">.  </w:t>
      </w:r>
    </w:p>
    <w:p w14:paraId="7A7A7582" w14:textId="77777777" w:rsidR="00F51162" w:rsidRDefault="00E241E2" w:rsidP="002D07D3">
      <w:pPr>
        <w:pStyle w:val="Heading2"/>
      </w:pPr>
      <w:r>
        <w:t xml:space="preserve">These walkable catchments are inconsistent with the </w:t>
      </w:r>
      <w:r w:rsidR="00E43E1E">
        <w:t xml:space="preserve">policy direction of the </w:t>
      </w:r>
      <w:r>
        <w:t>NPS-UD</w:t>
      </w:r>
      <w:r w:rsidR="00D535A6">
        <w:t xml:space="preserve"> and with</w:t>
      </w:r>
      <w:r>
        <w:t xml:space="preserve"> the walking catchments used by other Tier 1 local authorities.</w:t>
      </w:r>
      <w:r w:rsidR="00E15263">
        <w:t xml:space="preserve">  Further, they are unsupported by any section 32 analysis</w:t>
      </w:r>
      <w:r w:rsidR="002706C5">
        <w:t xml:space="preserve"> and are contrary to </w:t>
      </w:r>
      <w:r w:rsidR="00D535A6">
        <w:t>pub</w:t>
      </w:r>
      <w:r w:rsidR="00F51162">
        <w:t>l</w:t>
      </w:r>
      <w:r w:rsidR="00D535A6">
        <w:t>ic feedback</w:t>
      </w:r>
      <w:r w:rsidR="002706C5">
        <w:t xml:space="preserve"> on the draft </w:t>
      </w:r>
      <w:r w:rsidR="003E4C95">
        <w:t>Spatial P</w:t>
      </w:r>
      <w:r w:rsidR="002706C5">
        <w:t>lan</w:t>
      </w:r>
      <w:r w:rsidR="005D74F1">
        <w:t xml:space="preserve"> which</w:t>
      </w:r>
      <w:r w:rsidR="00F51162">
        <w:t>:</w:t>
      </w:r>
    </w:p>
    <w:p w14:paraId="1C56E6B6" w14:textId="77777777" w:rsidR="00F51162" w:rsidRDefault="00F51162" w:rsidP="00F51162">
      <w:pPr>
        <w:pStyle w:val="Heading3"/>
      </w:pPr>
      <w:r>
        <w:t>D</w:t>
      </w:r>
      <w:r w:rsidR="005D74F1">
        <w:t>emonstrated support for i</w:t>
      </w:r>
      <w:r w:rsidR="005D74F1" w:rsidRPr="005D74F1">
        <w:t>nner-city intensification</w:t>
      </w:r>
      <w:r>
        <w:t>;</w:t>
      </w:r>
      <w:r w:rsidR="00D535A6">
        <w:t xml:space="preserve"> and </w:t>
      </w:r>
    </w:p>
    <w:p w14:paraId="1D91983B" w14:textId="6D9E563C" w:rsidR="002D07D3" w:rsidRDefault="00F51162" w:rsidP="00F51162">
      <w:pPr>
        <w:pStyle w:val="Heading3"/>
      </w:pPr>
      <w:r>
        <w:lastRenderedPageBreak/>
        <w:t>I</w:t>
      </w:r>
      <w:r w:rsidR="00D535A6">
        <w:t>ndicated that people are willing to walk longer distances</w:t>
      </w:r>
      <w:r w:rsidR="00E15263">
        <w:t>.</w:t>
      </w:r>
    </w:p>
    <w:p w14:paraId="7E77D6B5" w14:textId="77777777" w:rsidR="00864A08" w:rsidRPr="00864A08" w:rsidRDefault="00864A08" w:rsidP="00864A08">
      <w:pPr>
        <w:pStyle w:val="Heading2"/>
        <w:keepNext/>
        <w:numPr>
          <w:ilvl w:val="0"/>
          <w:numId w:val="0"/>
        </w:numPr>
        <w:ind w:left="720"/>
        <w:rPr>
          <w:b/>
          <w:bCs/>
        </w:rPr>
      </w:pPr>
      <w:r w:rsidRPr="00864A08">
        <w:rPr>
          <w:b/>
          <w:bCs/>
        </w:rPr>
        <w:t>NPS-UD</w:t>
      </w:r>
    </w:p>
    <w:p w14:paraId="0A30F3F6" w14:textId="57A20A74" w:rsidR="005F1A5F" w:rsidRDefault="005F1A5F" w:rsidP="005F1A5F">
      <w:pPr>
        <w:pStyle w:val="Heading2"/>
        <w:keepNext/>
      </w:pPr>
      <w:r w:rsidRPr="005F1A5F">
        <w:t>Policy 3(</w:t>
      </w:r>
      <w:r>
        <w:t>c</w:t>
      </w:r>
      <w:r w:rsidRPr="005F1A5F">
        <w:t>) of the NPS-UD is as follows:</w:t>
      </w:r>
    </w:p>
    <w:p w14:paraId="52C50AFF" w14:textId="0A423880" w:rsidR="005F1A5F" w:rsidRDefault="005F1A5F" w:rsidP="005F1A5F">
      <w:pPr>
        <w:pStyle w:val="Quote"/>
        <w:spacing w:after="120"/>
      </w:pPr>
      <w:r>
        <w:t>“</w:t>
      </w:r>
      <w:r w:rsidRPr="005F1A5F">
        <w:rPr>
          <w:b/>
          <w:bCs/>
        </w:rPr>
        <w:t>Policy 3</w:t>
      </w:r>
      <w:r w:rsidRPr="005F1A5F">
        <w:t>: In relation to tier 1 urban environments, regional policy statements and district plans enable:</w:t>
      </w:r>
    </w:p>
    <w:p w14:paraId="195C7005" w14:textId="77777777" w:rsidR="005F1A5F" w:rsidRDefault="005F1A5F" w:rsidP="005F1A5F">
      <w:pPr>
        <w:pStyle w:val="Quote"/>
        <w:spacing w:after="120"/>
      </w:pPr>
      <w:r>
        <w:t>….</w:t>
      </w:r>
    </w:p>
    <w:p w14:paraId="0525C6AE" w14:textId="277ED973" w:rsidR="005F1A5F" w:rsidRDefault="00DD7F7F" w:rsidP="00DD7F7F">
      <w:pPr>
        <w:pStyle w:val="Quote"/>
        <w:spacing w:after="120"/>
        <w:ind w:left="2160" w:hanging="720"/>
      </w:pPr>
      <w:r>
        <w:t>(c)</w:t>
      </w:r>
      <w:r>
        <w:tab/>
      </w:r>
      <w:r w:rsidR="005F1A5F" w:rsidRPr="005F1A5F">
        <w:t xml:space="preserve">building heights of at least 6 storeys within at least a walkable catchment of the following: </w:t>
      </w:r>
    </w:p>
    <w:p w14:paraId="62B0E783" w14:textId="21691B6F" w:rsidR="005F1A5F" w:rsidRDefault="005F1A5F" w:rsidP="00DD7F7F">
      <w:pPr>
        <w:pStyle w:val="Quote"/>
        <w:spacing w:after="120"/>
        <w:ind w:left="2160"/>
      </w:pPr>
      <w:r w:rsidRPr="005F1A5F">
        <w:t>(i)</w:t>
      </w:r>
      <w:r>
        <w:tab/>
      </w:r>
      <w:r w:rsidRPr="005F1A5F">
        <w:t>existing and planned rapid transit stops</w:t>
      </w:r>
    </w:p>
    <w:p w14:paraId="3A376924" w14:textId="584E2FE3" w:rsidR="005F1A5F" w:rsidRDefault="005F1A5F" w:rsidP="00DD7F7F">
      <w:pPr>
        <w:pStyle w:val="Quote"/>
        <w:spacing w:after="120"/>
        <w:ind w:left="2160"/>
      </w:pPr>
      <w:r w:rsidRPr="005F1A5F">
        <w:t xml:space="preserve">(ii) </w:t>
      </w:r>
      <w:r>
        <w:tab/>
      </w:r>
      <w:r w:rsidRPr="005F1A5F">
        <w:t>the edge of city centre zones</w:t>
      </w:r>
    </w:p>
    <w:p w14:paraId="16FA0FAE" w14:textId="410C254B" w:rsidR="005F1A5F" w:rsidRPr="005F1A5F" w:rsidRDefault="005F1A5F" w:rsidP="003671E6">
      <w:pPr>
        <w:pStyle w:val="Quote"/>
        <w:spacing w:after="360"/>
        <w:ind w:left="2880" w:hanging="720"/>
      </w:pPr>
      <w:r w:rsidRPr="005F1A5F">
        <w:t xml:space="preserve">(iii) </w:t>
      </w:r>
      <w:r>
        <w:tab/>
      </w:r>
      <w:r w:rsidRPr="005F1A5F">
        <w:t>the edge of metropolitan centre zones</w:t>
      </w:r>
      <w:r w:rsidR="00C04E7E">
        <w:t>…</w:t>
      </w:r>
      <w:r>
        <w:t>”</w:t>
      </w:r>
    </w:p>
    <w:p w14:paraId="5E777FE9" w14:textId="4FB21F5E" w:rsidR="004170F6" w:rsidRPr="002D04C1" w:rsidRDefault="00140169" w:rsidP="004170F6">
      <w:pPr>
        <w:pStyle w:val="Heading2"/>
      </w:pPr>
      <w:r>
        <w:t>“</w:t>
      </w:r>
      <w:r w:rsidR="000B025F" w:rsidRPr="002D04C1">
        <w:t>Walkable catchment</w:t>
      </w:r>
      <w:r>
        <w:t>”</w:t>
      </w:r>
      <w:r w:rsidR="000B025F" w:rsidRPr="002D04C1">
        <w:t xml:space="preserve"> is not defined in the NPS-UD nor </w:t>
      </w:r>
      <w:r w:rsidR="004C54D8">
        <w:t>the RMA</w:t>
      </w:r>
      <w:r w:rsidR="000B025F" w:rsidRPr="002D04C1">
        <w:t>.</w:t>
      </w:r>
      <w:r w:rsidR="00D62E0B" w:rsidRPr="002D04C1">
        <w:t xml:space="preserve">  </w:t>
      </w:r>
      <w:r w:rsidR="000B025F" w:rsidRPr="002D04C1">
        <w:t xml:space="preserve">Section 5.5 of the </w:t>
      </w:r>
      <w:r w:rsidR="000B025F" w:rsidRPr="008A5963">
        <w:t>M</w:t>
      </w:r>
      <w:r w:rsidR="003A3C8D" w:rsidRPr="008A5963">
        <w:t>fE</w:t>
      </w:r>
      <w:r w:rsidR="000B025F" w:rsidRPr="008A5963">
        <w:t xml:space="preserve"> </w:t>
      </w:r>
      <w:r w:rsidR="002D04C1" w:rsidRPr="008A5963">
        <w:t>guidance</w:t>
      </w:r>
      <w:r w:rsidR="000B025F" w:rsidRPr="002D04C1">
        <w:t xml:space="preserve"> includes the following:</w:t>
      </w:r>
    </w:p>
    <w:p w14:paraId="6D8CA754" w14:textId="77777777" w:rsidR="000B025F" w:rsidRPr="00DA7BE0" w:rsidRDefault="000B025F" w:rsidP="008D766E">
      <w:pPr>
        <w:pStyle w:val="Quote"/>
        <w:keepNext/>
        <w:rPr>
          <w:b/>
          <w:bCs/>
        </w:rPr>
      </w:pPr>
      <w:r w:rsidRPr="00DA7BE0">
        <w:t>“</w:t>
      </w:r>
      <w:r w:rsidRPr="00DA7BE0">
        <w:rPr>
          <w:b/>
          <w:bCs/>
        </w:rPr>
        <w:t xml:space="preserve">5.5 Walkable catchments  </w:t>
      </w:r>
    </w:p>
    <w:p w14:paraId="1C712307" w14:textId="351197BC" w:rsidR="000B025F" w:rsidRDefault="000B025F" w:rsidP="003671E6">
      <w:pPr>
        <w:pStyle w:val="Quote"/>
        <w:spacing w:after="360"/>
      </w:pPr>
      <w:r w:rsidRPr="00DA7BE0">
        <w:t xml:space="preserve">A walkable catchment is the area that an average person could walk from a specific point to get to multiple destinations. A walkable catchment of 400 metres is typically associated with a five-minute average walk and 800 metres with a 10-minute average walk. These distances are also affected by factors such as </w:t>
      </w:r>
      <w:proofErr w:type="gramStart"/>
      <w:r w:rsidRPr="00DA7BE0">
        <w:t>land form</w:t>
      </w:r>
      <w:proofErr w:type="gramEnd"/>
      <w:r w:rsidRPr="00DA7BE0">
        <w:t xml:space="preserve"> (eg, hills take longer to walk up and can be an obstacle to walking), connectivity or severance (eg, the lack of ease and safety of crossing roads, highways and intersections), and the quality of footpaths. Walkable catchments can be determined either using a simple, radial pedshed analysis or a more detailed GIS (geographic information systems) network analysis.”</w:t>
      </w:r>
    </w:p>
    <w:p w14:paraId="39E46FB8" w14:textId="0901E74D" w:rsidR="007C21F3" w:rsidRPr="00156516" w:rsidRDefault="007C21F3" w:rsidP="00255BBE">
      <w:pPr>
        <w:pStyle w:val="Heading2"/>
      </w:pPr>
      <w:r w:rsidRPr="00156516">
        <w:t xml:space="preserve">The exercise of defining what a “walkable catchment” is, is coloured by the intent and purpose of the NPS-UD </w:t>
      </w:r>
      <w:proofErr w:type="gramStart"/>
      <w:r w:rsidRPr="00156516">
        <w:t>i.e.</w:t>
      </w:r>
      <w:proofErr w:type="gramEnd"/>
      <w:r w:rsidRPr="00156516">
        <w:t xml:space="preserve"> to maximise the benefits of intensification.  As such, it is evident that a walkable catchment is one which</w:t>
      </w:r>
      <w:r w:rsidR="00B671B0" w:rsidRPr="00156516">
        <w:t xml:space="preserve"> is a distance by which an average person is </w:t>
      </w:r>
      <w:r w:rsidR="004F0D03">
        <w:t xml:space="preserve">both </w:t>
      </w:r>
      <w:r w:rsidR="00B671B0" w:rsidRPr="00156516">
        <w:t xml:space="preserve">willing and able to walk </w:t>
      </w:r>
      <w:r w:rsidR="004F0D03">
        <w:t>(</w:t>
      </w:r>
      <w:proofErr w:type="gramStart"/>
      <w:r w:rsidR="004F0D03">
        <w:t>e.g.</w:t>
      </w:r>
      <w:proofErr w:type="gramEnd"/>
      <w:r w:rsidR="004F0D03">
        <w:t xml:space="preserve"> </w:t>
      </w:r>
      <w:r w:rsidR="00B671B0" w:rsidRPr="00156516">
        <w:t>due to topography</w:t>
      </w:r>
      <w:r w:rsidR="004F0D03">
        <w:t>)</w:t>
      </w:r>
      <w:r w:rsidR="00B671B0" w:rsidRPr="00156516">
        <w:t>.</w:t>
      </w:r>
      <w:r w:rsidR="00DF4ACB" w:rsidRPr="00156516">
        <w:t xml:space="preserve">  </w:t>
      </w:r>
      <w:r w:rsidR="00D24ADC" w:rsidRPr="00231EEB">
        <w:t>The MfE guidance encourages consideration of greater walkable catchments in Tier 1 environments.</w:t>
      </w:r>
      <w:r w:rsidR="00D24ADC" w:rsidRPr="00231EEB">
        <w:rPr>
          <w:rStyle w:val="FootnoteReference"/>
        </w:rPr>
        <w:footnoteReference w:id="11"/>
      </w:r>
      <w:r w:rsidR="00D24ADC">
        <w:t xml:space="preserve">  </w:t>
      </w:r>
      <w:r w:rsidR="00DF4ACB" w:rsidRPr="00156516">
        <w:t xml:space="preserve">Due to the </w:t>
      </w:r>
      <w:r w:rsidR="00321964" w:rsidRPr="00156516">
        <w:t xml:space="preserve">increased </w:t>
      </w:r>
      <w:r w:rsidR="00DF4ACB" w:rsidRPr="00156516">
        <w:t>accessibility of city centres</w:t>
      </w:r>
      <w:r w:rsidR="009830D9" w:rsidRPr="00156516">
        <w:t xml:space="preserve"> and the draw of services and amenities</w:t>
      </w:r>
      <w:r w:rsidR="00DF4ACB" w:rsidRPr="00156516">
        <w:t xml:space="preserve">, </w:t>
      </w:r>
      <w:r w:rsidR="00321964" w:rsidRPr="00156516">
        <w:t>a</w:t>
      </w:r>
      <w:r w:rsidR="00DF4ACB" w:rsidRPr="00156516">
        <w:t xml:space="preserve"> walkable catchment around a city centre </w:t>
      </w:r>
      <w:r w:rsidR="00321964" w:rsidRPr="00156516">
        <w:t>is likely to be</w:t>
      </w:r>
      <w:r w:rsidR="00DF4ACB" w:rsidRPr="00156516">
        <w:t xml:space="preserve"> large</w:t>
      </w:r>
      <w:r w:rsidR="00321964" w:rsidRPr="00156516">
        <w:t>r</w:t>
      </w:r>
      <w:r w:rsidR="00DF4ACB" w:rsidRPr="00156516">
        <w:t xml:space="preserve"> than a walkable catchment around a smaller commercial zone, such as a </w:t>
      </w:r>
      <w:r w:rsidR="00AD1867" w:rsidRPr="00156516">
        <w:t xml:space="preserve">metropolitan or </w:t>
      </w:r>
      <w:r w:rsidR="00DF4ACB" w:rsidRPr="00156516">
        <w:t xml:space="preserve">neighbourhood </w:t>
      </w:r>
      <w:r w:rsidR="00AD1867" w:rsidRPr="00156516">
        <w:t xml:space="preserve">centre </w:t>
      </w:r>
      <w:r w:rsidR="00DF4ACB" w:rsidRPr="00156516">
        <w:t>zone.</w:t>
      </w:r>
    </w:p>
    <w:p w14:paraId="25C159D3" w14:textId="378ADFB9" w:rsidR="00B24DC8" w:rsidRPr="00A2255C" w:rsidRDefault="00F51162" w:rsidP="007C21F3">
      <w:pPr>
        <w:pStyle w:val="Heading2"/>
      </w:pPr>
      <w:r>
        <w:t>R</w:t>
      </w:r>
      <w:r w:rsidR="00B24DC8" w:rsidRPr="00A2255C">
        <w:t xml:space="preserve">esearch </w:t>
      </w:r>
      <w:r w:rsidR="002F65CC" w:rsidRPr="00A2255C">
        <w:t>by Auckland Transport found</w:t>
      </w:r>
      <w:r w:rsidR="00B24DC8" w:rsidRPr="00A2255C">
        <w:t xml:space="preserve"> that half of the </w:t>
      </w:r>
      <w:r w:rsidR="002F65CC" w:rsidRPr="00A2255C">
        <w:t xml:space="preserve">pedestrians </w:t>
      </w:r>
      <w:r w:rsidR="00B24DC8" w:rsidRPr="00A2255C">
        <w:t>surveyed walked further than 800 metres to a train station</w:t>
      </w:r>
      <w:r w:rsidR="00E46D77" w:rsidRPr="00A2255C">
        <w:t xml:space="preserve">.  </w:t>
      </w:r>
      <w:r w:rsidR="00E41134">
        <w:t>Proposals</w:t>
      </w:r>
      <w:r w:rsidR="00E46D77" w:rsidRPr="00A2255C">
        <w:t xml:space="preserve"> made by Auckland Transport </w:t>
      </w:r>
      <w:r w:rsidR="00773466" w:rsidRPr="00A2255C">
        <w:t xml:space="preserve">in relation to walkable catchments </w:t>
      </w:r>
      <w:r w:rsidR="00E46D77" w:rsidRPr="00A2255C">
        <w:t xml:space="preserve">included the </w:t>
      </w:r>
      <w:r w:rsidR="00E46D77" w:rsidRPr="00A2255C">
        <w:lastRenderedPageBreak/>
        <w:t>following: 400 metres (a five- to 10-minute walk), and 1000 metres or a 20-minute walk for town centres and rapid transit stops, to 1200 metres for intermediate or high schools.</w:t>
      </w:r>
      <w:r w:rsidR="00E46D77" w:rsidRPr="00A2255C">
        <w:rPr>
          <w:rStyle w:val="FootnoteReference"/>
        </w:rPr>
        <w:footnoteReference w:id="12"/>
      </w:r>
    </w:p>
    <w:p w14:paraId="6BD9C136" w14:textId="7F2321B7" w:rsidR="00F83974" w:rsidRPr="00F83974" w:rsidRDefault="00F83974" w:rsidP="00F77EE9">
      <w:pPr>
        <w:pStyle w:val="SubTitleBold"/>
      </w:pPr>
      <w:r w:rsidRPr="00F83974">
        <w:t>WCC’s definition of walkable catchment</w:t>
      </w:r>
    </w:p>
    <w:p w14:paraId="6D029152" w14:textId="6D9D6DE5" w:rsidR="00A104C7" w:rsidRDefault="00A104C7" w:rsidP="00D12042">
      <w:pPr>
        <w:pStyle w:val="Heading2"/>
      </w:pPr>
      <w:r w:rsidRPr="004C5782">
        <w:t>The PDP does not include a definition of walkable catchment</w:t>
      </w:r>
      <w:r w:rsidR="00534D6E">
        <w:t xml:space="preserve"> or similar</w:t>
      </w:r>
      <w:r w:rsidRPr="004C5782">
        <w:t xml:space="preserve">.  </w:t>
      </w:r>
    </w:p>
    <w:p w14:paraId="1F88C227" w14:textId="4E3AB7EE" w:rsidR="00E276F8" w:rsidRDefault="00463BFE" w:rsidP="00536A78">
      <w:pPr>
        <w:pStyle w:val="Heading2"/>
      </w:pPr>
      <w:r>
        <w:t>The s</w:t>
      </w:r>
      <w:r w:rsidR="003A08E2">
        <w:t>ection</w:t>
      </w:r>
      <w:r>
        <w:t xml:space="preserve"> 32 </w:t>
      </w:r>
      <w:r w:rsidR="00A06EA0">
        <w:t>r</w:t>
      </w:r>
      <w:r>
        <w:t xml:space="preserve">eport </w:t>
      </w:r>
      <w:r w:rsidR="00A06EA0">
        <w:t xml:space="preserve">(part 1) </w:t>
      </w:r>
      <w:r>
        <w:t>for the PDP records that i</w:t>
      </w:r>
      <w:r w:rsidR="00E276F8">
        <w:t>n preparing the PDP, WCC first adopted a Spatial Plan</w:t>
      </w:r>
      <w:r w:rsidR="00A1138D">
        <w:t xml:space="preserve"> (June 2021)</w:t>
      </w:r>
      <w:r w:rsidR="00F73AA4">
        <w:t xml:space="preserve"> and that </w:t>
      </w:r>
      <w:proofErr w:type="gramStart"/>
      <w:r w:rsidR="00143099">
        <w:t>as a result of</w:t>
      </w:r>
      <w:proofErr w:type="gramEnd"/>
      <w:r w:rsidR="00143099">
        <w:t xml:space="preserve"> the </w:t>
      </w:r>
      <w:r w:rsidR="00E276F8" w:rsidRPr="00621E56">
        <w:t>consultation</w:t>
      </w:r>
      <w:r w:rsidR="00143099">
        <w:t xml:space="preserve"> with the public</w:t>
      </w:r>
      <w:r w:rsidR="00E276F8" w:rsidRPr="00621E56">
        <w:t>,</w:t>
      </w:r>
      <w:r w:rsidR="00E276F8">
        <w:t xml:space="preserve"> the Spatial Plan included the following changes:</w:t>
      </w:r>
      <w:bookmarkStart w:id="7" w:name="_Ref111712936"/>
      <w:r w:rsidR="00E276F8">
        <w:rPr>
          <w:rStyle w:val="FootnoteReference"/>
        </w:rPr>
        <w:footnoteReference w:id="13"/>
      </w:r>
      <w:bookmarkEnd w:id="7"/>
    </w:p>
    <w:p w14:paraId="6045287C" w14:textId="52F166E6" w:rsidR="00E276F8" w:rsidRDefault="00E276F8" w:rsidP="00E276F8">
      <w:pPr>
        <w:pStyle w:val="Quote"/>
        <w:spacing w:after="120"/>
        <w:ind w:left="2160" w:hanging="720"/>
      </w:pPr>
      <w:r>
        <w:t>“•</w:t>
      </w:r>
      <w:r>
        <w:tab/>
        <w:t xml:space="preserve">the expansion of the NPS-UD ‘walkable catchments’ as follows: </w:t>
      </w:r>
    </w:p>
    <w:p w14:paraId="582F16BB" w14:textId="77777777" w:rsidR="00E276F8" w:rsidRDefault="00E276F8" w:rsidP="00E276F8">
      <w:pPr>
        <w:pStyle w:val="Quote"/>
        <w:spacing w:after="120"/>
        <w:ind w:left="2880" w:hanging="720"/>
      </w:pPr>
      <w:r>
        <w:t>o</w:t>
      </w:r>
      <w:r>
        <w:tab/>
        <w:t xml:space="preserve">around the City Centre to 15 minutes (from 10 minutes) </w:t>
      </w:r>
    </w:p>
    <w:p w14:paraId="4C1A8DBE" w14:textId="7143E99F" w:rsidR="00E276F8" w:rsidRPr="004C5782" w:rsidRDefault="00E276F8" w:rsidP="00A36738">
      <w:pPr>
        <w:pStyle w:val="Quote"/>
        <w:spacing w:after="360"/>
        <w:ind w:left="2880" w:hanging="720"/>
      </w:pPr>
      <w:r>
        <w:t>o</w:t>
      </w:r>
      <w:r>
        <w:tab/>
        <w:t>Increasing walkable catchment around all train stations to 10 minutes (from a mix of 5 and 10 minutes).”</w:t>
      </w:r>
    </w:p>
    <w:p w14:paraId="223341F8" w14:textId="73B245B2" w:rsidR="00937A34" w:rsidRDefault="00937A34" w:rsidP="00536A78">
      <w:pPr>
        <w:pStyle w:val="Heading2"/>
      </w:pPr>
      <w:r>
        <w:t xml:space="preserve">The summary of consultation on the draft Spatial Plan </w:t>
      </w:r>
      <w:r w:rsidR="00D535A6">
        <w:t>records</w:t>
      </w:r>
      <w:r>
        <w:t xml:space="preserve"> that:</w:t>
      </w:r>
      <w:r w:rsidR="002F2290">
        <w:rPr>
          <w:rStyle w:val="FootnoteReference"/>
        </w:rPr>
        <w:footnoteReference w:id="14"/>
      </w:r>
    </w:p>
    <w:p w14:paraId="3365E942" w14:textId="719F3BB5" w:rsidR="005E6B44" w:rsidRDefault="005E6B44" w:rsidP="00ED79C0">
      <w:pPr>
        <w:pStyle w:val="Heading3"/>
      </w:pPr>
      <w:r>
        <w:t xml:space="preserve">Those who were in favour of intensification </w:t>
      </w:r>
      <w:r w:rsidR="00E41134">
        <w:t>identified the</w:t>
      </w:r>
      <w:r>
        <w:t xml:space="preserve"> benefits that would result from intensification, which included more affordable housing, better proximity to amenities, higher quality housing, and a more compact city that would increase </w:t>
      </w:r>
      <w:proofErr w:type="gramStart"/>
      <w:r>
        <w:t>vibrancy</w:t>
      </w:r>
      <w:r w:rsidR="00546EE6">
        <w:t>;</w:t>
      </w:r>
      <w:proofErr w:type="gramEnd"/>
    </w:p>
    <w:p w14:paraId="2D008EDE" w14:textId="09C71AD4" w:rsidR="005E6B44" w:rsidRDefault="005E6B44" w:rsidP="00BC14E3">
      <w:pPr>
        <w:pStyle w:val="Heading3"/>
      </w:pPr>
      <w:r>
        <w:t xml:space="preserve">Those who opposed intensification feared losing the character of established suburbs, particularly the inner </w:t>
      </w:r>
      <w:proofErr w:type="gramStart"/>
      <w:r>
        <w:t>suburbs</w:t>
      </w:r>
      <w:r w:rsidR="00546EE6">
        <w:t>;</w:t>
      </w:r>
      <w:proofErr w:type="gramEnd"/>
    </w:p>
    <w:p w14:paraId="0532EA47" w14:textId="6DB0A6EC" w:rsidR="00937A34" w:rsidRDefault="00937A34" w:rsidP="00E24762">
      <w:pPr>
        <w:pStyle w:val="Heading3"/>
      </w:pPr>
      <w:r>
        <w:t>There was a preference for intensification to be carried out in areas that were close to transport routes, or in existing commercial centres – to ensure that these places were well connected and well serviced; and</w:t>
      </w:r>
    </w:p>
    <w:p w14:paraId="7B4998BB" w14:textId="743A31E2" w:rsidR="00937A34" w:rsidRDefault="00937A34" w:rsidP="00C22329">
      <w:pPr>
        <w:pStyle w:val="Heading3"/>
      </w:pPr>
      <w:r>
        <w:t>There was an overall preference for intensification in inner suburbs as opposed to outer suburbs, as people felt this would do more to enhance the vibrancy of the city.</w:t>
      </w:r>
    </w:p>
    <w:p w14:paraId="1A696255" w14:textId="2EB8085C" w:rsidR="005D6B82" w:rsidRPr="001B0F12" w:rsidRDefault="00026F66" w:rsidP="00536A78">
      <w:pPr>
        <w:pStyle w:val="Heading2"/>
      </w:pPr>
      <w:r>
        <w:t>F</w:t>
      </w:r>
      <w:r w:rsidR="005D6B82" w:rsidRPr="001B0F12">
        <w:t xml:space="preserve">ollowing a meeting of the </w:t>
      </w:r>
      <w:r w:rsidR="007E7229" w:rsidRPr="001B0F12">
        <w:t xml:space="preserve">WCC Planning and Environment Committee </w:t>
      </w:r>
      <w:r w:rsidR="005D6B82" w:rsidRPr="001B0F12">
        <w:t>on 23</w:t>
      </w:r>
      <w:r w:rsidR="00B71C4D">
        <w:t> </w:t>
      </w:r>
      <w:r w:rsidR="005D6B82" w:rsidRPr="001B0F12">
        <w:t>June 202</w:t>
      </w:r>
      <w:r w:rsidR="00956388" w:rsidRPr="001B0F12">
        <w:t>2</w:t>
      </w:r>
      <w:r w:rsidR="005D6B82" w:rsidRPr="001B0F12">
        <w:t xml:space="preserve">, </w:t>
      </w:r>
      <w:r w:rsidR="003562F2" w:rsidRPr="003562F2">
        <w:t>Wellington City councillors</w:t>
      </w:r>
      <w:r w:rsidR="005D6B82" w:rsidRPr="001B0F12">
        <w:t xml:space="preserve"> voted </w:t>
      </w:r>
      <w:r w:rsidR="00140169">
        <w:t>to adopt</w:t>
      </w:r>
      <w:r w:rsidR="00C72083">
        <w:t xml:space="preserve"> </w:t>
      </w:r>
      <w:r w:rsidR="00675154" w:rsidRPr="001B0F12">
        <w:t xml:space="preserve">reduced times for </w:t>
      </w:r>
      <w:r w:rsidR="00675154" w:rsidRPr="001B0F12">
        <w:lastRenderedPageBreak/>
        <w:t>walkable catchments</w:t>
      </w:r>
      <w:r w:rsidR="00C72083">
        <w:t xml:space="preserve"> as previously recommended by Council officers</w:t>
      </w:r>
      <w:r>
        <w:t xml:space="preserve"> in respect of the spatial plan</w:t>
      </w:r>
      <w:r w:rsidR="005D6B82" w:rsidRPr="001B0F12">
        <w:t>:</w:t>
      </w:r>
      <w:bookmarkStart w:id="8" w:name="_Ref112855179"/>
      <w:r w:rsidR="00ED31D9" w:rsidRPr="001B0F12">
        <w:rPr>
          <w:rStyle w:val="FootnoteReference"/>
        </w:rPr>
        <w:footnoteReference w:id="15"/>
      </w:r>
      <w:bookmarkEnd w:id="8"/>
    </w:p>
    <w:p w14:paraId="2DB0293C" w14:textId="4E9B7C59" w:rsidR="00956388" w:rsidRPr="00956388" w:rsidRDefault="005D6B82" w:rsidP="00956388">
      <w:pPr>
        <w:pStyle w:val="Quote"/>
        <w:spacing w:after="120"/>
      </w:pPr>
      <w:r w:rsidRPr="00956388">
        <w:t>“</w:t>
      </w:r>
      <w:r w:rsidR="00956388" w:rsidRPr="00956388">
        <w:t>Agree that the walking catchments recommended by officers, in respect of the spatial plan, to be reinstated as follows:</w:t>
      </w:r>
    </w:p>
    <w:p w14:paraId="0FBB8A5E" w14:textId="79620B66" w:rsidR="00956388" w:rsidRPr="00956388" w:rsidRDefault="00956388" w:rsidP="00956388">
      <w:pPr>
        <w:pStyle w:val="Quote"/>
        <w:spacing w:after="120"/>
        <w:ind w:left="2160" w:hanging="720"/>
      </w:pPr>
      <w:r w:rsidRPr="00956388">
        <w:t xml:space="preserve">• </w:t>
      </w:r>
      <w:r w:rsidRPr="00956388">
        <w:tab/>
        <w:t>10 mins walking catchment around City Centre Zone (CCZ) and metropolitan centres except where limited by natural hazard</w:t>
      </w:r>
    </w:p>
    <w:p w14:paraId="341EDC0E" w14:textId="3EAFE9F6" w:rsidR="00956388" w:rsidRPr="00956388" w:rsidRDefault="00956388" w:rsidP="00956388">
      <w:pPr>
        <w:pStyle w:val="Quote"/>
        <w:spacing w:after="120"/>
        <w:ind w:left="2160" w:hanging="720"/>
      </w:pPr>
      <w:r w:rsidRPr="00956388">
        <w:t xml:space="preserve">• </w:t>
      </w:r>
      <w:r w:rsidRPr="00956388">
        <w:tab/>
        <w:t>10 mins walking catchment around Tawa and Kenepuru stations.</w:t>
      </w:r>
    </w:p>
    <w:p w14:paraId="60D19327" w14:textId="25574E9C" w:rsidR="005D6B82" w:rsidRPr="00956388" w:rsidRDefault="00956388" w:rsidP="00A36738">
      <w:pPr>
        <w:pStyle w:val="Quote"/>
        <w:spacing w:after="360"/>
        <w:ind w:left="2160" w:hanging="720"/>
      </w:pPr>
      <w:r w:rsidRPr="00956388">
        <w:t xml:space="preserve">• </w:t>
      </w:r>
      <w:r w:rsidRPr="00956388">
        <w:tab/>
        <w:t>5 mins walking catchment around the other stations designated as rapid transit along the Hutt/Melling Kapiti lines.</w:t>
      </w:r>
      <w:r w:rsidR="005D6B82" w:rsidRPr="00956388">
        <w:t>”</w:t>
      </w:r>
    </w:p>
    <w:p w14:paraId="2507DBEF" w14:textId="3950FA39" w:rsidR="003562F2" w:rsidRPr="00ED5719" w:rsidRDefault="002D07D3" w:rsidP="00536A78">
      <w:pPr>
        <w:pStyle w:val="Heading2"/>
      </w:pPr>
      <w:r>
        <w:t>T</w:t>
      </w:r>
      <w:r w:rsidR="00221CEF" w:rsidRPr="00ED5719">
        <w:t>he reasons given by the Councillors supporting the reduced walk</w:t>
      </w:r>
      <w:r w:rsidR="003C08DC" w:rsidRPr="00ED5719">
        <w:t>able</w:t>
      </w:r>
      <w:r w:rsidR="00221CEF" w:rsidRPr="00ED5719">
        <w:t xml:space="preserve"> catchments included:</w:t>
      </w:r>
      <w:bookmarkStart w:id="9" w:name="_Ref111712979"/>
      <w:r w:rsidR="00221CEF" w:rsidRPr="00ED5719">
        <w:rPr>
          <w:rStyle w:val="FootnoteReference"/>
        </w:rPr>
        <w:footnoteReference w:id="16"/>
      </w:r>
      <w:bookmarkEnd w:id="9"/>
    </w:p>
    <w:p w14:paraId="066E19FA" w14:textId="79071B30" w:rsidR="00FC26BC" w:rsidRDefault="00686CD9" w:rsidP="00543689">
      <w:pPr>
        <w:pStyle w:val="Heading3"/>
      </w:pPr>
      <w:r>
        <w:t xml:space="preserve">The Draft Spatial Plan was prepared prior to the introduction of the </w:t>
      </w:r>
      <w:r w:rsidR="0022517C" w:rsidRPr="00ED5719">
        <w:t xml:space="preserve">Medium Density Residential Standards </w:t>
      </w:r>
      <w:r w:rsidR="0022517C">
        <w:t>(“</w:t>
      </w:r>
      <w:r>
        <w:t>MDRS</w:t>
      </w:r>
      <w:r w:rsidR="0022517C">
        <w:t>”)</w:t>
      </w:r>
      <w:r w:rsidR="00FC26BC">
        <w:t xml:space="preserve"> and</w:t>
      </w:r>
      <w:r w:rsidR="005B5D1F">
        <w:t>,</w:t>
      </w:r>
      <w:r w:rsidR="00EB58DC">
        <w:t xml:space="preserve"> as such</w:t>
      </w:r>
      <w:r w:rsidR="005B5D1F">
        <w:t>,</w:t>
      </w:r>
      <w:r w:rsidR="00EB58DC">
        <w:t xml:space="preserve"> didn’t account for </w:t>
      </w:r>
      <w:r w:rsidR="005B5D1F">
        <w:t xml:space="preserve">the </w:t>
      </w:r>
      <w:r w:rsidR="00EB58DC">
        <w:t>MDRS.  T</w:t>
      </w:r>
      <w:r w:rsidR="00FC26BC">
        <w:t xml:space="preserve">he </w:t>
      </w:r>
      <w:r w:rsidR="00FC26BC" w:rsidRPr="00ED5719">
        <w:t>Medium Density Residential Standards provide increased density capacity</w:t>
      </w:r>
      <w:r w:rsidR="004A5DC0">
        <w:t xml:space="preserve"> across the city</w:t>
      </w:r>
      <w:r w:rsidR="00FC26BC" w:rsidRPr="00ED5719">
        <w:t>;</w:t>
      </w:r>
      <w:r w:rsidR="000C5C3C">
        <w:rPr>
          <w:rStyle w:val="FootnoteReference"/>
        </w:rPr>
        <w:footnoteReference w:id="17"/>
      </w:r>
      <w:r w:rsidR="00FC26BC" w:rsidRPr="00ED5719">
        <w:t xml:space="preserve"> </w:t>
      </w:r>
    </w:p>
    <w:p w14:paraId="24D1D740" w14:textId="39468F11" w:rsidR="00221CEF" w:rsidRPr="00ED5719" w:rsidRDefault="004A6877" w:rsidP="00543689">
      <w:pPr>
        <w:pStyle w:val="Heading3"/>
      </w:pPr>
      <w:r w:rsidRPr="00ED5719">
        <w:t>Infrastructure needs to be upgraded before development in the City Centre can be intensified;</w:t>
      </w:r>
      <w:r w:rsidR="00164DC4">
        <w:rPr>
          <w:rStyle w:val="FootnoteReference"/>
        </w:rPr>
        <w:footnoteReference w:id="18"/>
      </w:r>
      <w:r w:rsidR="00164DC4">
        <w:t xml:space="preserve"> </w:t>
      </w:r>
    </w:p>
    <w:p w14:paraId="7D27A041" w14:textId="0C8DE94D" w:rsidR="004A6877" w:rsidRPr="00ED5719" w:rsidRDefault="004A6877" w:rsidP="00221CEF">
      <w:pPr>
        <w:pStyle w:val="Heading3"/>
      </w:pPr>
      <w:r w:rsidRPr="00ED5719">
        <w:t>Unlimited height controls will not work without buildings being strong enough to withstand earthquakes;</w:t>
      </w:r>
      <w:r w:rsidR="00164DC4">
        <w:rPr>
          <w:rStyle w:val="FootnoteReference"/>
        </w:rPr>
        <w:footnoteReference w:id="19"/>
      </w:r>
    </w:p>
    <w:p w14:paraId="528F0864" w14:textId="0BA63430" w:rsidR="004042CC" w:rsidRPr="00ED5719" w:rsidRDefault="00AD5B13" w:rsidP="00C017CB">
      <w:pPr>
        <w:pStyle w:val="Heading3"/>
      </w:pPr>
      <w:r w:rsidRPr="00ED5719">
        <w:t>The Johnsonville train line does not have the capacity to have six or more storeys along it</w:t>
      </w:r>
      <w:r w:rsidR="00241753">
        <w:t xml:space="preserve"> as</w:t>
      </w:r>
      <w:r w:rsidRPr="00ED5719">
        <w:t xml:space="preserve"> the suburbs w</w:t>
      </w:r>
      <w:r w:rsidR="00803BC6" w:rsidRPr="00ED5719">
        <w:t xml:space="preserve">ill not </w:t>
      </w:r>
      <w:r w:rsidRPr="00ED5719">
        <w:t>be able to cope</w:t>
      </w:r>
      <w:r w:rsidR="00546DAA">
        <w:t>;</w:t>
      </w:r>
      <w:r w:rsidR="001225A3">
        <w:rPr>
          <w:rStyle w:val="FootnoteReference"/>
        </w:rPr>
        <w:footnoteReference w:id="20"/>
      </w:r>
      <w:r w:rsidR="00546DAA">
        <w:t xml:space="preserve"> </w:t>
      </w:r>
      <w:r w:rsidR="008B68AE" w:rsidRPr="00ED5719">
        <w:t>and</w:t>
      </w:r>
    </w:p>
    <w:p w14:paraId="7225FF9D" w14:textId="1D35DFBB" w:rsidR="00F34820" w:rsidRDefault="00F34820" w:rsidP="00DB6D8C">
      <w:pPr>
        <w:pStyle w:val="Heading3"/>
      </w:pPr>
      <w:r w:rsidRPr="00ED5719">
        <w:t>The city should be preserved</w:t>
      </w:r>
      <w:r w:rsidR="008B68AE" w:rsidRPr="00ED5719">
        <w:t>.</w:t>
      </w:r>
      <w:r w:rsidR="00200CB1">
        <w:rPr>
          <w:rStyle w:val="FootnoteReference"/>
        </w:rPr>
        <w:footnoteReference w:id="21"/>
      </w:r>
    </w:p>
    <w:p w14:paraId="2F30AFF2" w14:textId="01387550" w:rsidR="0051064C" w:rsidRDefault="003E4DB1" w:rsidP="00E67FDF">
      <w:pPr>
        <w:pStyle w:val="Heading2"/>
      </w:pPr>
      <w:r w:rsidRPr="00EB42BF">
        <w:t>None of the reason</w:t>
      </w:r>
      <w:r w:rsidR="007C6E81">
        <w:t>s</w:t>
      </w:r>
      <w:r w:rsidRPr="00EB42BF">
        <w:t xml:space="preserve"> given related to the methodology for </w:t>
      </w:r>
      <w:r w:rsidR="00E41134">
        <w:t>identifying</w:t>
      </w:r>
      <w:r w:rsidRPr="00EB42BF">
        <w:t xml:space="preserve"> walkable catchment</w:t>
      </w:r>
      <w:r w:rsidR="00E41134">
        <w:t>s</w:t>
      </w:r>
      <w:r w:rsidRPr="00EB42BF">
        <w:t xml:space="preserve">, </w:t>
      </w:r>
      <w:r w:rsidR="00E41134">
        <w:t>n</w:t>
      </w:r>
      <w:r w:rsidRPr="00EB42BF">
        <w:t xml:space="preserve">or whether the walkable catchment </w:t>
      </w:r>
      <w:r w:rsidR="0060080A" w:rsidRPr="00EB42BF">
        <w:t xml:space="preserve">distances </w:t>
      </w:r>
      <w:r w:rsidRPr="00EB42BF">
        <w:t xml:space="preserve">used </w:t>
      </w:r>
      <w:r w:rsidR="0060080A" w:rsidRPr="00EB42BF">
        <w:t>are</w:t>
      </w:r>
      <w:r w:rsidRPr="00EB42BF">
        <w:t xml:space="preserve"> suitable for Wellington’s to</w:t>
      </w:r>
      <w:r w:rsidR="0060080A" w:rsidRPr="00EB42BF">
        <w:t>po</w:t>
      </w:r>
      <w:r w:rsidRPr="00EB42BF">
        <w:t>graphy.  Rather, it appears that the concerns relate to</w:t>
      </w:r>
      <w:r w:rsidR="0051064C">
        <w:t>:</w:t>
      </w:r>
    </w:p>
    <w:p w14:paraId="2C485278" w14:textId="6A578A15" w:rsidR="0051064C" w:rsidRDefault="008E49FB" w:rsidP="0051064C">
      <w:pPr>
        <w:pStyle w:val="Heading3"/>
      </w:pPr>
      <w:r>
        <w:t>T</w:t>
      </w:r>
      <w:r w:rsidR="003E4DB1" w:rsidRPr="00EB42BF">
        <w:t>he resulting intensification that increased walkable catchments allow</w:t>
      </w:r>
      <w:r w:rsidR="0051064C">
        <w:t xml:space="preserve">; and </w:t>
      </w:r>
    </w:p>
    <w:p w14:paraId="3EFEC5D4" w14:textId="65256D10" w:rsidR="003E4DB1" w:rsidRPr="00EB42BF" w:rsidRDefault="0051064C" w:rsidP="004159AC">
      <w:pPr>
        <w:pStyle w:val="Heading3"/>
      </w:pPr>
      <w:r>
        <w:lastRenderedPageBreak/>
        <w:t>Th</w:t>
      </w:r>
      <w:r w:rsidR="00124D64">
        <w:t>at th</w:t>
      </w:r>
      <w:r>
        <w:t>e additional development capacity enabled by the</w:t>
      </w:r>
      <w:r w:rsidR="003E4DB1" w:rsidRPr="00EB42BF">
        <w:t xml:space="preserve"> MDRS provide</w:t>
      </w:r>
      <w:r>
        <w:t>s</w:t>
      </w:r>
      <w:r w:rsidR="003E4DB1" w:rsidRPr="00EB42BF">
        <w:t xml:space="preserve"> </w:t>
      </w:r>
      <w:r w:rsidR="00CC0C45" w:rsidRPr="00EB42BF">
        <w:t>an</w:t>
      </w:r>
      <w:r w:rsidR="003E4DB1" w:rsidRPr="00EB42BF">
        <w:t xml:space="preserve"> increased </w:t>
      </w:r>
      <w:r w:rsidR="00CC0C45" w:rsidRPr="00EB42BF">
        <w:t xml:space="preserve">level of </w:t>
      </w:r>
      <w:r w:rsidR="003E4DB1" w:rsidRPr="00EB42BF">
        <w:t xml:space="preserve">density </w:t>
      </w:r>
      <w:r w:rsidR="00CC0C45" w:rsidRPr="00EB42BF">
        <w:t>across most of Wellington</w:t>
      </w:r>
      <w:r>
        <w:t xml:space="preserve"> </w:t>
      </w:r>
      <w:r w:rsidR="00124D64">
        <w:t xml:space="preserve">which </w:t>
      </w:r>
      <w:r>
        <w:t>satisfies</w:t>
      </w:r>
      <w:r w:rsidR="0038364E">
        <w:t xml:space="preserve"> the policy </w:t>
      </w:r>
      <w:r w:rsidR="00CC0C45" w:rsidRPr="00EB42BF">
        <w:t>direction of the NPS-UD</w:t>
      </w:r>
      <w:r w:rsidR="003E4DB1" w:rsidRPr="00EB42BF">
        <w:t>.</w:t>
      </w:r>
    </w:p>
    <w:p w14:paraId="30C4230E" w14:textId="17EDE824" w:rsidR="00D535A6" w:rsidRDefault="0051064C" w:rsidP="00E67FDF">
      <w:pPr>
        <w:pStyle w:val="Heading2"/>
      </w:pPr>
      <w:r w:rsidRPr="00523FEB">
        <w:t xml:space="preserve">WCC </w:t>
      </w:r>
      <w:r w:rsidR="00E17D4F">
        <w:t xml:space="preserve">has </w:t>
      </w:r>
      <w:r w:rsidR="00523FEB" w:rsidRPr="00523FEB">
        <w:t xml:space="preserve">not undertaken </w:t>
      </w:r>
      <w:r w:rsidRPr="00523FEB">
        <w:t xml:space="preserve">a section 32 analysis </w:t>
      </w:r>
      <w:r w:rsidR="00D535A6">
        <w:t xml:space="preserve">of </w:t>
      </w:r>
      <w:r w:rsidRPr="00523FEB">
        <w:t>the revised</w:t>
      </w:r>
      <w:r w:rsidR="00E17D4F">
        <w:t>, shorter</w:t>
      </w:r>
      <w:r w:rsidRPr="00523FEB">
        <w:t xml:space="preserve"> walkable catchments</w:t>
      </w:r>
      <w:r w:rsidR="00782BF2">
        <w:t xml:space="preserve"> or indeed any analysis regarding different options for walkable catchments around the required areas</w:t>
      </w:r>
      <w:r w:rsidR="00523FEB" w:rsidRPr="00523FEB">
        <w:t>.</w:t>
      </w:r>
      <w:r w:rsidR="00063AE6">
        <w:t xml:space="preserve">  </w:t>
      </w:r>
    </w:p>
    <w:p w14:paraId="3DE5ECF7" w14:textId="774AC27B" w:rsidR="0051064C" w:rsidRPr="00523FEB" w:rsidRDefault="00D535A6" w:rsidP="00E67FDF">
      <w:pPr>
        <w:pStyle w:val="Heading2"/>
      </w:pPr>
      <w:r>
        <w:t>By</w:t>
      </w:r>
      <w:r w:rsidR="006D40ED">
        <w:t xml:space="preserve"> comparison, </w:t>
      </w:r>
      <w:r w:rsidR="00063AE6">
        <w:t xml:space="preserve">Auckland Council </w:t>
      </w:r>
      <w:r w:rsidR="006D40ED">
        <w:t xml:space="preserve">has undertaken a comprehensive analysis </w:t>
      </w:r>
      <w:r w:rsidR="00063AE6">
        <w:t xml:space="preserve">in </w:t>
      </w:r>
      <w:r>
        <w:t>its equivalent</w:t>
      </w:r>
      <w:r w:rsidR="00063AE6">
        <w:t xml:space="preserve"> s</w:t>
      </w:r>
      <w:r w:rsidR="00236F5F">
        <w:t>ection</w:t>
      </w:r>
      <w:r w:rsidR="00063AE6">
        <w:t xml:space="preserve"> 32 report</w:t>
      </w:r>
      <w:r w:rsidR="00575BAD">
        <w:t>.</w:t>
      </w:r>
      <w:r w:rsidR="00040B36">
        <w:rPr>
          <w:rStyle w:val="FootnoteReference"/>
        </w:rPr>
        <w:footnoteReference w:id="22"/>
      </w:r>
      <w:r w:rsidR="006D40ED">
        <w:t xml:space="preserve">  </w:t>
      </w:r>
    </w:p>
    <w:p w14:paraId="59D13A3D" w14:textId="49E13E62" w:rsidR="0015185A" w:rsidRPr="004D6AB6" w:rsidRDefault="0051064C" w:rsidP="0064584C">
      <w:pPr>
        <w:pStyle w:val="Heading2"/>
      </w:pPr>
      <w:r>
        <w:t xml:space="preserve">Further, </w:t>
      </w:r>
      <w:r w:rsidR="00E41134">
        <w:t xml:space="preserve">the Council’s obligations in giving effect to the Resource Management (Enabling Housing Supply &amp; Other Matters) Amendment Act 2021 and the NPS-UD go further than simply implementing the MDRS. </w:t>
      </w:r>
      <w:r w:rsidR="0015185A" w:rsidRPr="004D6AB6">
        <w:t>While the MDRS increases intensification in relevant residential zones, it has no application to commercially zoned land.  Nor do</w:t>
      </w:r>
      <w:r w:rsidR="00903BF2">
        <w:t>es</w:t>
      </w:r>
      <w:r w:rsidR="00466EC5" w:rsidRPr="004D6AB6">
        <w:t xml:space="preserve"> the MDRS</w:t>
      </w:r>
      <w:r w:rsidR="0015185A" w:rsidRPr="004D6AB6">
        <w:t xml:space="preserve"> </w:t>
      </w:r>
      <w:proofErr w:type="gramStart"/>
      <w:r w:rsidR="0015185A" w:rsidRPr="004D6AB6">
        <w:t>take into account</w:t>
      </w:r>
      <w:proofErr w:type="gramEnd"/>
      <w:r w:rsidR="0015185A" w:rsidRPr="004D6AB6">
        <w:t xml:space="preserve"> </w:t>
      </w:r>
      <w:r w:rsidR="00F1310E" w:rsidRPr="004D6AB6">
        <w:t xml:space="preserve">the separate </w:t>
      </w:r>
      <w:r w:rsidR="0015185A" w:rsidRPr="004D6AB6">
        <w:t xml:space="preserve">intensification requirements </w:t>
      </w:r>
      <w:r w:rsidR="005141E5" w:rsidRPr="004D6AB6">
        <w:t xml:space="preserve">as directed by the NPS-UD </w:t>
      </w:r>
      <w:r w:rsidR="000E109E" w:rsidRPr="004D6AB6">
        <w:t>to land in and</w:t>
      </w:r>
      <w:r w:rsidR="009945AD" w:rsidRPr="004D6AB6">
        <w:t>/or</w:t>
      </w:r>
      <w:r w:rsidR="000E109E" w:rsidRPr="004D6AB6">
        <w:t xml:space="preserve"> </w:t>
      </w:r>
      <w:r w:rsidR="0015185A" w:rsidRPr="004D6AB6">
        <w:t>around city centre zones, metropolitan</w:t>
      </w:r>
      <w:r w:rsidR="005141E5" w:rsidRPr="004D6AB6">
        <w:t xml:space="preserve"> centre</w:t>
      </w:r>
      <w:r w:rsidR="0015185A" w:rsidRPr="004D6AB6">
        <w:t xml:space="preserve"> zones, </w:t>
      </w:r>
      <w:r w:rsidR="005141E5" w:rsidRPr="004D6AB6">
        <w:t xml:space="preserve">neighbourhood centre zones, local centre zones, </w:t>
      </w:r>
      <w:r w:rsidR="0015185A" w:rsidRPr="004D6AB6">
        <w:t>town centre zones</w:t>
      </w:r>
      <w:r w:rsidR="005141E5" w:rsidRPr="004D6AB6">
        <w:t xml:space="preserve">, </w:t>
      </w:r>
      <w:r w:rsidR="0015185A" w:rsidRPr="004D6AB6">
        <w:t>or rapid transit stops</w:t>
      </w:r>
      <w:r w:rsidR="00E41134">
        <w:t>.</w:t>
      </w:r>
      <w:r w:rsidR="004D6AB6" w:rsidRPr="004D6AB6">
        <w:t xml:space="preserve">  </w:t>
      </w:r>
    </w:p>
    <w:p w14:paraId="6C2CDBE2" w14:textId="78D4DF40" w:rsidR="002C3EC0" w:rsidRDefault="002C3EC0" w:rsidP="002C3EC0">
      <w:pPr>
        <w:pStyle w:val="SubTitleBold"/>
      </w:pPr>
      <w:r>
        <w:t>Other Tier 1 local authorities’ walkable catchments</w:t>
      </w:r>
    </w:p>
    <w:p w14:paraId="780275CD" w14:textId="511F728C" w:rsidR="00122523" w:rsidRDefault="00122523" w:rsidP="00122523">
      <w:pPr>
        <w:pStyle w:val="Heading2"/>
      </w:pPr>
      <w:r>
        <w:t xml:space="preserve">Auckland </w:t>
      </w:r>
      <w:r w:rsidR="00AA1785">
        <w:t>Council</w:t>
      </w:r>
      <w:r w:rsidR="00AA1B09" w:rsidRPr="00AA1B09">
        <w:t xml:space="preserve"> </w:t>
      </w:r>
      <w:r w:rsidR="00AA1B09">
        <w:t>has applied the following walkable catchments to its plan change:</w:t>
      </w:r>
      <w:r w:rsidR="00AA1B09">
        <w:rPr>
          <w:rStyle w:val="FootnoteReference"/>
        </w:rPr>
        <w:footnoteReference w:id="23"/>
      </w:r>
    </w:p>
    <w:p w14:paraId="6E8DEF42" w14:textId="7DCD2927" w:rsidR="00AA1B09" w:rsidRDefault="0044611B" w:rsidP="00AA1B09">
      <w:pPr>
        <w:pStyle w:val="Heading3"/>
      </w:pPr>
      <w:r>
        <w:t>A</w:t>
      </w:r>
      <w:r w:rsidR="00AA1B09" w:rsidRPr="00AA1B09">
        <w:t xml:space="preserve"> 15-minute walk (around 1200 metres) from the edge of the City Centre Zone</w:t>
      </w:r>
      <w:r w:rsidR="00AA1B09">
        <w:t>; and</w:t>
      </w:r>
    </w:p>
    <w:p w14:paraId="162675A9" w14:textId="119FD45D" w:rsidR="00AA1B09" w:rsidRDefault="0044611B" w:rsidP="00AA1B09">
      <w:pPr>
        <w:pStyle w:val="Heading3"/>
      </w:pPr>
      <w:r>
        <w:t>A</w:t>
      </w:r>
      <w:r w:rsidR="00AA1B09" w:rsidRPr="00AA1B09">
        <w:t xml:space="preserve"> 10-minute walk (around 800 metres) from the edge of the metropolitan centres and around existing and planned rapid transit stops, such as a train station entrance point or a stop along the Northern Busway.</w:t>
      </w:r>
    </w:p>
    <w:p w14:paraId="043FC9EF" w14:textId="0C7A5395" w:rsidR="00122523" w:rsidRDefault="00122523" w:rsidP="00122523">
      <w:pPr>
        <w:pStyle w:val="Heading2"/>
      </w:pPr>
      <w:r w:rsidRPr="00CA5956">
        <w:t xml:space="preserve">Hutt City Council </w:t>
      </w:r>
      <w:r w:rsidR="00F76A5A">
        <w:t xml:space="preserve">has </w:t>
      </w:r>
      <w:r w:rsidR="009E2EBE">
        <w:t>applied</w:t>
      </w:r>
      <w:r w:rsidR="00F76A5A">
        <w:t xml:space="preserve"> the following walkable catchments</w:t>
      </w:r>
      <w:r w:rsidR="00672532">
        <w:t xml:space="preserve"> to its plan change</w:t>
      </w:r>
      <w:r w:rsidR="00F76A5A">
        <w:t>:</w:t>
      </w:r>
      <w:r w:rsidR="00F76A5A">
        <w:rPr>
          <w:rStyle w:val="FootnoteReference"/>
        </w:rPr>
        <w:footnoteReference w:id="24"/>
      </w:r>
    </w:p>
    <w:p w14:paraId="45C3FB44" w14:textId="0F52E6BF" w:rsidR="00F76A5A" w:rsidRDefault="00F76A5A" w:rsidP="00F76A5A">
      <w:pPr>
        <w:pStyle w:val="Heading3"/>
      </w:pPr>
      <w:r w:rsidRPr="00F76A5A">
        <w:t xml:space="preserve">Within 1200 metres / 15 minutes of the City </w:t>
      </w:r>
      <w:proofErr w:type="gramStart"/>
      <w:r w:rsidRPr="00F76A5A">
        <w:t>Centre</w:t>
      </w:r>
      <w:r>
        <w:t>;</w:t>
      </w:r>
      <w:proofErr w:type="gramEnd"/>
    </w:p>
    <w:p w14:paraId="2F232412" w14:textId="3B18BA2E" w:rsidR="00F76A5A" w:rsidRDefault="00F76A5A" w:rsidP="00F76A5A">
      <w:pPr>
        <w:pStyle w:val="Heading3"/>
      </w:pPr>
      <w:r w:rsidRPr="00F76A5A">
        <w:t>Within 800 metres / 10 minutes of the Metropolitan Centre</w:t>
      </w:r>
      <w:r>
        <w:t>; and</w:t>
      </w:r>
    </w:p>
    <w:p w14:paraId="59E9A7A1" w14:textId="35433AFA" w:rsidR="00F76A5A" w:rsidRDefault="00F76A5A" w:rsidP="00F76A5A">
      <w:pPr>
        <w:pStyle w:val="Heading3"/>
      </w:pPr>
      <w:r w:rsidRPr="00F76A5A">
        <w:lastRenderedPageBreak/>
        <w:t>Within 800 metres / 10 minutes of Rapid Transit Stops</w:t>
      </w:r>
      <w:r>
        <w:t>.</w:t>
      </w:r>
    </w:p>
    <w:p w14:paraId="0FFC5E19" w14:textId="16A86EB0" w:rsidR="002C3EC0" w:rsidRDefault="00122523" w:rsidP="00B93796">
      <w:pPr>
        <w:pStyle w:val="Heading2"/>
        <w:keepNext/>
      </w:pPr>
      <w:r w:rsidRPr="004B6C9A">
        <w:t>Porirua City Council</w:t>
      </w:r>
      <w:r w:rsidR="00AA1B09">
        <w:t xml:space="preserve"> has applied the following walkable catchments to its plan change:</w:t>
      </w:r>
      <w:r w:rsidR="00CF3D4D">
        <w:rPr>
          <w:rStyle w:val="FootnoteReference"/>
        </w:rPr>
        <w:footnoteReference w:id="25"/>
      </w:r>
    </w:p>
    <w:p w14:paraId="0D2443E0" w14:textId="6F6C1EDC" w:rsidR="00CF3D4D" w:rsidRDefault="00CF3D4D" w:rsidP="00D6793D">
      <w:pPr>
        <w:pStyle w:val="Heading3"/>
      </w:pPr>
      <w:r w:rsidRPr="00CF3D4D">
        <w:t>800m from the edge of the Metropolitan Centre Zone and/or a train station</w:t>
      </w:r>
      <w:r>
        <w:t>.</w:t>
      </w:r>
    </w:p>
    <w:p w14:paraId="1DD81FD7" w14:textId="28573454" w:rsidR="00D0672D" w:rsidRDefault="00D0672D" w:rsidP="00D0672D">
      <w:pPr>
        <w:pStyle w:val="Heading2"/>
      </w:pPr>
      <w:r>
        <w:t xml:space="preserve">Again, as New Zealand’s capital city and one which has access to multi-mode, regular public transport it is inconsistent </w:t>
      </w:r>
      <w:r w:rsidR="00C46475">
        <w:t xml:space="preserve">and illogical </w:t>
      </w:r>
      <w:r>
        <w:t>that WCC has applied smaller walking catchments than proposed by other Tier 1 local authorities.</w:t>
      </w:r>
    </w:p>
    <w:p w14:paraId="0D70B7C9" w14:textId="41D7FBE4" w:rsidR="00555FE6" w:rsidRDefault="00555FE6" w:rsidP="00F77EE9">
      <w:pPr>
        <w:pStyle w:val="SubTitleBold"/>
      </w:pPr>
      <w:r>
        <w:t>Submission</w:t>
      </w:r>
      <w:r w:rsidR="0044611B">
        <w:t xml:space="preserve"> – walkable catchments should be increased to 15 minutes</w:t>
      </w:r>
    </w:p>
    <w:p w14:paraId="22FBECBB" w14:textId="0117F349" w:rsidR="00555FE6" w:rsidRDefault="0051064C" w:rsidP="00555FE6">
      <w:pPr>
        <w:pStyle w:val="Heading2"/>
      </w:pPr>
      <w:r>
        <w:t>T</w:t>
      </w:r>
      <w:r w:rsidR="00B03AA3" w:rsidRPr="00342ADA">
        <w:t xml:space="preserve">he walkable catchments </w:t>
      </w:r>
      <w:r w:rsidR="006B002D" w:rsidRPr="00342ADA">
        <w:t>which informed</w:t>
      </w:r>
      <w:r w:rsidR="00B03AA3" w:rsidRPr="00342ADA">
        <w:t xml:space="preserve"> the</w:t>
      </w:r>
      <w:r w:rsidR="00EC5D45">
        <w:t xml:space="preserve"> adopted</w:t>
      </w:r>
      <w:r w:rsidR="00B03AA3" w:rsidRPr="00342ADA">
        <w:t xml:space="preserve"> Spatial Plan</w:t>
      </w:r>
      <w:r w:rsidR="00BF2B1E">
        <w:t xml:space="preserve">, </w:t>
      </w:r>
      <w:r w:rsidR="00036BE4">
        <w:t xml:space="preserve">adopted </w:t>
      </w:r>
      <w:proofErr w:type="gramStart"/>
      <w:r w:rsidR="00036BE4">
        <w:t xml:space="preserve">as a </w:t>
      </w:r>
      <w:r w:rsidR="002C3EC0">
        <w:t>consequence</w:t>
      </w:r>
      <w:r w:rsidR="00036BE4">
        <w:t xml:space="preserve"> of</w:t>
      </w:r>
      <w:proofErr w:type="gramEnd"/>
      <w:r w:rsidR="00036BE4">
        <w:t xml:space="preserve"> </w:t>
      </w:r>
      <w:r w:rsidR="00BF2B1E">
        <w:t>public consultation</w:t>
      </w:r>
      <w:r w:rsidR="00036BE4">
        <w:t xml:space="preserve"> favouring inner-city intensification</w:t>
      </w:r>
      <w:r w:rsidR="00BF2B1E">
        <w:t>,</w:t>
      </w:r>
      <w:r w:rsidR="008A6701">
        <w:t xml:space="preserve"> </w:t>
      </w:r>
      <w:r>
        <w:t>have been informed by the best available information in respect of what is a realistic walking distance</w:t>
      </w:r>
      <w:r w:rsidR="00BF2B1E">
        <w:t xml:space="preserve"> and what the people living within Wellington are willing to walk.</w:t>
      </w:r>
    </w:p>
    <w:p w14:paraId="053DC25C" w14:textId="21A99047" w:rsidR="008E1E68" w:rsidRDefault="008E1E68" w:rsidP="002E25A5">
      <w:pPr>
        <w:pStyle w:val="Heading2"/>
        <w:keepNext/>
      </w:pPr>
      <w:r>
        <w:t>A definition of walkable catchment should be added to the PDP:</w:t>
      </w:r>
    </w:p>
    <w:p w14:paraId="0110CAB7" w14:textId="1D7CC2F5" w:rsidR="008E1E68" w:rsidRDefault="008E1E68" w:rsidP="008E1E68">
      <w:pPr>
        <w:pStyle w:val="Heading3"/>
      </w:pPr>
      <w:r>
        <w:t>To provide clarity around the walkable catchments that have been used</w:t>
      </w:r>
      <w:r w:rsidR="00963C51">
        <w:t xml:space="preserve"> in the PDP</w:t>
      </w:r>
      <w:r>
        <w:t>; and</w:t>
      </w:r>
    </w:p>
    <w:p w14:paraId="74A0F332" w14:textId="25A3851C" w:rsidR="008E1E68" w:rsidRPr="00342ADA" w:rsidRDefault="008E1E68" w:rsidP="00257734">
      <w:pPr>
        <w:pStyle w:val="Heading3"/>
      </w:pPr>
      <w:r>
        <w:t xml:space="preserve">To provide flexibility in amending </w:t>
      </w:r>
      <w:r w:rsidR="00257734">
        <w:t>a</w:t>
      </w:r>
      <w:r>
        <w:t xml:space="preserve"> walkable catchment</w:t>
      </w:r>
      <w:r w:rsidR="00257734">
        <w:t xml:space="preserve"> </w:t>
      </w:r>
      <w:r>
        <w:t>in the future</w:t>
      </w:r>
      <w:r w:rsidR="00257734">
        <w:t>,</w:t>
      </w:r>
      <w:r>
        <w:t xml:space="preserve"> should that be required.</w:t>
      </w:r>
    </w:p>
    <w:p w14:paraId="499B0D15" w14:textId="518C4645" w:rsidR="00D63C44" w:rsidRPr="00405E3A" w:rsidRDefault="00D63C44" w:rsidP="00F77EE9">
      <w:pPr>
        <w:pStyle w:val="SubTitleBold"/>
      </w:pPr>
      <w:r w:rsidRPr="00405E3A">
        <w:t>Relief sought</w:t>
      </w:r>
    </w:p>
    <w:p w14:paraId="5C51BE9C" w14:textId="669361E6" w:rsidR="00D63C44" w:rsidRPr="00405E3A" w:rsidRDefault="00DE5AB8" w:rsidP="003E0C68">
      <w:pPr>
        <w:pStyle w:val="Heading2"/>
        <w:keepNext/>
      </w:pPr>
      <w:bookmarkStart w:id="10" w:name="_Ref110949549"/>
      <w:r>
        <w:t>GZ Inc seeks the following relief</w:t>
      </w:r>
      <w:r w:rsidR="00B740E1" w:rsidRPr="00405E3A">
        <w:t>:</w:t>
      </w:r>
      <w:bookmarkEnd w:id="10"/>
    </w:p>
    <w:p w14:paraId="3C85C0A3" w14:textId="4843169D" w:rsidR="00B740E1" w:rsidRPr="00BB1EB1" w:rsidRDefault="00B740E1" w:rsidP="00B740E1">
      <w:pPr>
        <w:pStyle w:val="Heading3"/>
      </w:pPr>
      <w:r w:rsidRPr="00BB1EB1">
        <w:t xml:space="preserve">A definition of </w:t>
      </w:r>
      <w:r w:rsidR="00DE5AB8">
        <w:t>“</w:t>
      </w:r>
      <w:r w:rsidRPr="00BB1EB1">
        <w:t>walkable catchment</w:t>
      </w:r>
      <w:r w:rsidR="00DE5AB8">
        <w:t>”</w:t>
      </w:r>
      <w:r w:rsidRPr="00BB1EB1">
        <w:t xml:space="preserve"> is added to the PDP</w:t>
      </w:r>
      <w:r w:rsidR="00B2525E" w:rsidRPr="00BB1EB1">
        <w:t>:</w:t>
      </w:r>
    </w:p>
    <w:p w14:paraId="7DCE0AC4" w14:textId="072670E6" w:rsidR="00FA4312" w:rsidRPr="00B809ED" w:rsidRDefault="00B2525E" w:rsidP="00E65BD0">
      <w:pPr>
        <w:pStyle w:val="Quote"/>
        <w:ind w:left="2160"/>
      </w:pPr>
      <w:r w:rsidRPr="00B809ED">
        <w:t>“</w:t>
      </w:r>
      <w:r w:rsidR="002A46FF" w:rsidRPr="00B809ED">
        <w:t xml:space="preserve">WALKABLE CATCHMENT </w:t>
      </w:r>
      <w:r w:rsidRPr="00B809ED">
        <w:t xml:space="preserve">means the area an average person could walk from a specific point to get to multiple destinations.  </w:t>
      </w:r>
    </w:p>
    <w:p w14:paraId="4E04FCE1" w14:textId="26948F26" w:rsidR="00B2525E" w:rsidRPr="00B809ED" w:rsidRDefault="00B2525E" w:rsidP="003479A8">
      <w:pPr>
        <w:pStyle w:val="Quote"/>
        <w:spacing w:after="360"/>
        <w:ind w:left="2160"/>
      </w:pPr>
      <w:r w:rsidRPr="00B809ED">
        <w:t xml:space="preserve">The City Centre Zone uses a </w:t>
      </w:r>
      <w:r w:rsidR="00744DB8" w:rsidRPr="00B809ED">
        <w:t>15-minute</w:t>
      </w:r>
      <w:r w:rsidRPr="00B809ED">
        <w:t xml:space="preserve"> walkable catchment.</w:t>
      </w:r>
      <w:r w:rsidR="00FB7F2B" w:rsidRPr="00B809ED">
        <w:t xml:space="preserve">  Walkable catchments around Metropolitan Centre zones and existing and planned rapid transit stops are also 15 minutes.</w:t>
      </w:r>
      <w:r w:rsidRPr="00B809ED">
        <w:t>”</w:t>
      </w:r>
    </w:p>
    <w:p w14:paraId="6157ECFB" w14:textId="2518AE56" w:rsidR="008D233C" w:rsidRDefault="008D233C" w:rsidP="002B76A1">
      <w:pPr>
        <w:pStyle w:val="Heading3"/>
        <w:keepNext/>
      </w:pPr>
      <w:r>
        <w:lastRenderedPageBreak/>
        <w:t>T</w:t>
      </w:r>
      <w:r w:rsidRPr="008D233C">
        <w:t xml:space="preserve">he introduction to the City Centre Zone chapter </w:t>
      </w:r>
      <w:r>
        <w:t>is amended as follows</w:t>
      </w:r>
      <w:r w:rsidR="00267D2F">
        <w:t>, for consistency</w:t>
      </w:r>
      <w:r>
        <w:t>:</w:t>
      </w:r>
    </w:p>
    <w:p w14:paraId="3DD315DA" w14:textId="04C6D138" w:rsidR="008D233C" w:rsidRPr="008D233C" w:rsidRDefault="008D233C" w:rsidP="00436DD3">
      <w:pPr>
        <w:pStyle w:val="Quote"/>
        <w:spacing w:after="360"/>
        <w:ind w:left="2160"/>
      </w:pPr>
      <w:r w:rsidRPr="00F04E11">
        <w:t xml:space="preserve">“In locations where rapid transit investment has been signalled measures have been included to enable opportunities for more intensive, comprehensive development to occur, particularly in areas within a walkable </w:t>
      </w:r>
      <w:r w:rsidRPr="00F04E11">
        <w:rPr>
          <w:strike/>
        </w:rPr>
        <w:t>distance</w:t>
      </w:r>
      <w:r w:rsidRPr="00F04E11">
        <w:t xml:space="preserve"> </w:t>
      </w:r>
      <w:r w:rsidRPr="00CB21F9">
        <w:rPr>
          <w:u w:val="single"/>
        </w:rPr>
        <w:t>catchment</w:t>
      </w:r>
      <w:r w:rsidRPr="00F04E11">
        <w:t xml:space="preserve"> of planned rapid transit stops.”</w:t>
      </w:r>
    </w:p>
    <w:p w14:paraId="526969D9" w14:textId="652F4431" w:rsidR="00566AFA" w:rsidRPr="0067490E" w:rsidRDefault="00566AFA" w:rsidP="00992EA4">
      <w:pPr>
        <w:pStyle w:val="Heading3"/>
        <w:keepNext/>
      </w:pPr>
      <w:r w:rsidRPr="0067490E">
        <w:t>Walkable catchment</w:t>
      </w:r>
      <w:r w:rsidR="00663ADE" w:rsidRPr="0067490E">
        <w:t xml:space="preserve">s are </w:t>
      </w:r>
      <w:r w:rsidRPr="0067490E">
        <w:t>increased from 10 minutes to 15 minutes for:</w:t>
      </w:r>
    </w:p>
    <w:p w14:paraId="7DB17676" w14:textId="606B67AA" w:rsidR="0007588D" w:rsidRPr="00595D77" w:rsidRDefault="0044611B" w:rsidP="00595D77">
      <w:pPr>
        <w:pStyle w:val="Heading4"/>
      </w:pPr>
      <w:r>
        <w:t>E</w:t>
      </w:r>
      <w:r w:rsidR="0007588D" w:rsidRPr="00595D77">
        <w:t xml:space="preserve">xisting and planned rapid transit </w:t>
      </w:r>
      <w:proofErr w:type="gramStart"/>
      <w:r w:rsidR="0007588D" w:rsidRPr="00595D77">
        <w:t>stops;</w:t>
      </w:r>
      <w:proofErr w:type="gramEnd"/>
    </w:p>
    <w:p w14:paraId="60A0CB54" w14:textId="02B7CEA0" w:rsidR="00595D77" w:rsidRDefault="0044611B" w:rsidP="00595D77">
      <w:pPr>
        <w:pStyle w:val="Heading4"/>
      </w:pPr>
      <w:r>
        <w:t>T</w:t>
      </w:r>
      <w:r w:rsidR="0007588D" w:rsidRPr="00595D77">
        <w:t>he edge of city centre zones; and</w:t>
      </w:r>
    </w:p>
    <w:p w14:paraId="7A22154E" w14:textId="71A25012" w:rsidR="0007588D" w:rsidRPr="00595D77" w:rsidRDefault="0044611B" w:rsidP="00595D77">
      <w:pPr>
        <w:pStyle w:val="Heading4"/>
      </w:pPr>
      <w:r>
        <w:t>T</w:t>
      </w:r>
      <w:r w:rsidR="0007588D" w:rsidRPr="00595D77">
        <w:t>he edge of metropolitan</w:t>
      </w:r>
      <w:r w:rsidR="0007588D" w:rsidRPr="0067490E">
        <w:t xml:space="preserve"> centre zones.</w:t>
      </w:r>
    </w:p>
    <w:p w14:paraId="03A8DA83" w14:textId="04D40165" w:rsidR="004170F6" w:rsidRDefault="004170F6" w:rsidP="0007588D">
      <w:pPr>
        <w:pStyle w:val="Heading1"/>
      </w:pPr>
      <w:r w:rsidRPr="004170F6">
        <w:t>Johnsonville rail</w:t>
      </w:r>
      <w:r w:rsidR="00D679B7">
        <w:t xml:space="preserve"> </w:t>
      </w:r>
      <w:r w:rsidRPr="004170F6">
        <w:t>line</w:t>
      </w:r>
    </w:p>
    <w:p w14:paraId="247B17DF" w14:textId="71E6A2E6" w:rsidR="004043A1" w:rsidRPr="00545CA2" w:rsidRDefault="004043A1" w:rsidP="00AF3F66">
      <w:pPr>
        <w:pStyle w:val="Heading2"/>
      </w:pPr>
      <w:r w:rsidRPr="00545CA2">
        <w:t>Policy 3(c) of the NPS-UD</w:t>
      </w:r>
      <w:r w:rsidR="00091A10" w:rsidRPr="00545CA2">
        <w:t xml:space="preserve"> </w:t>
      </w:r>
      <w:r w:rsidR="008B5D34">
        <w:t>provides</w:t>
      </w:r>
      <w:r w:rsidR="00091A10" w:rsidRPr="00545CA2">
        <w:t xml:space="preserve"> that building heights of at least </w:t>
      </w:r>
      <w:r w:rsidR="008B5D34">
        <w:t>six</w:t>
      </w:r>
      <w:r w:rsidR="00091A10" w:rsidRPr="00545CA2">
        <w:t xml:space="preserve"> storeys are enabled within at least a walkable catchment of existing and planned rapid transit stops.</w:t>
      </w:r>
    </w:p>
    <w:p w14:paraId="2D1DF12E" w14:textId="57AD0A90" w:rsidR="005A65CC" w:rsidRPr="00545CA2" w:rsidRDefault="005A65CC" w:rsidP="00E42C8A">
      <w:pPr>
        <w:pStyle w:val="Heading2"/>
        <w:keepNext/>
      </w:pPr>
      <w:r w:rsidRPr="00545CA2">
        <w:t>The NPS-UD includes the following relevant definitions:</w:t>
      </w:r>
    </w:p>
    <w:p w14:paraId="5347FD61" w14:textId="5F5EA84A" w:rsidR="009A341C" w:rsidRDefault="009A341C" w:rsidP="009A341C">
      <w:pPr>
        <w:pStyle w:val="Quote"/>
        <w:spacing w:after="120"/>
      </w:pPr>
      <w:r>
        <w:t>“</w:t>
      </w:r>
      <w:proofErr w:type="gramStart"/>
      <w:r w:rsidRPr="007E4D54">
        <w:rPr>
          <w:b/>
          <w:bCs/>
        </w:rPr>
        <w:t>planned</w:t>
      </w:r>
      <w:proofErr w:type="gramEnd"/>
      <w:r>
        <w:t xml:space="preserve"> in relation to forms or features of transport, means planned in a regional land transport plan prepared and approved under the Land Transport Management Act 2003</w:t>
      </w:r>
      <w:r w:rsidR="0087593E">
        <w:t>.</w:t>
      </w:r>
    </w:p>
    <w:p w14:paraId="5062742E" w14:textId="1AD4AD8D" w:rsidR="009A341C" w:rsidRDefault="009A341C" w:rsidP="009A341C">
      <w:pPr>
        <w:pStyle w:val="Quote"/>
        <w:spacing w:after="120"/>
      </w:pPr>
      <w:r>
        <w:t>…</w:t>
      </w:r>
    </w:p>
    <w:p w14:paraId="00061271" w14:textId="26DD3853" w:rsidR="005A65CC" w:rsidRPr="005A65CC" w:rsidRDefault="005A65CC" w:rsidP="005A65CC">
      <w:pPr>
        <w:pStyle w:val="Quote"/>
        <w:spacing w:after="120"/>
      </w:pPr>
      <w:r w:rsidRPr="005A65CC">
        <w:rPr>
          <w:b/>
          <w:bCs/>
        </w:rPr>
        <w:t>rapid transit service</w:t>
      </w:r>
      <w:r w:rsidRPr="005A65CC">
        <w:t xml:space="preserve"> means any existing or planned frequent, quick, reliable and high-capacity public transport service that operates on a permanent route (road or rail) that is largely separated from other traffic</w:t>
      </w:r>
      <w:r w:rsidR="005D38E8">
        <w:t>.</w:t>
      </w:r>
      <w:r w:rsidRPr="005A65CC">
        <w:t xml:space="preserve"> </w:t>
      </w:r>
    </w:p>
    <w:p w14:paraId="4A9CA7AB" w14:textId="07B73D9E" w:rsidR="005A65CC" w:rsidRDefault="005A65CC" w:rsidP="009A341C">
      <w:pPr>
        <w:pStyle w:val="Quote"/>
        <w:spacing w:after="360"/>
      </w:pPr>
      <w:r w:rsidRPr="005A65CC">
        <w:rPr>
          <w:b/>
          <w:bCs/>
        </w:rPr>
        <w:t>rapid transit stop</w:t>
      </w:r>
      <w:r w:rsidRPr="005A65CC">
        <w:t xml:space="preserve"> means a place where people can enter or exit a rapid transit service, whether existing or </w:t>
      </w:r>
      <w:r w:rsidRPr="00262F60">
        <w:t>planned.”</w:t>
      </w:r>
    </w:p>
    <w:p w14:paraId="75B0767E" w14:textId="7CCAFFEE" w:rsidR="00C72C35" w:rsidRDefault="00C72C35" w:rsidP="00AF3F66">
      <w:pPr>
        <w:pStyle w:val="Heading2"/>
      </w:pPr>
      <w:r>
        <w:t>Johnsonville Rail Line meets the criteria identified in those definitions and should therefore be identified as a rapid transit service in the PDP. The failure to do so and to enable intensification within a walkable catchment around it is inconsistent with the requirements of Policy 3 of the NPS</w:t>
      </w:r>
      <w:r w:rsidR="004801B8">
        <w:t>-</w:t>
      </w:r>
      <w:r>
        <w:t>UD.</w:t>
      </w:r>
    </w:p>
    <w:p w14:paraId="290B6014" w14:textId="202FC512" w:rsidR="00C72C35" w:rsidRPr="004801B8" w:rsidRDefault="00C72C35" w:rsidP="004801B8">
      <w:pPr>
        <w:pStyle w:val="Heading2"/>
        <w:numPr>
          <w:ilvl w:val="0"/>
          <w:numId w:val="0"/>
        </w:numPr>
        <w:ind w:left="720"/>
        <w:rPr>
          <w:b/>
          <w:bCs/>
        </w:rPr>
      </w:pPr>
      <w:r w:rsidRPr="004801B8">
        <w:rPr>
          <w:b/>
          <w:bCs/>
        </w:rPr>
        <w:t>Context</w:t>
      </w:r>
    </w:p>
    <w:p w14:paraId="3B08AFAF" w14:textId="2E86DFF5" w:rsidR="004043A1" w:rsidRPr="00262F60" w:rsidRDefault="00516AF3" w:rsidP="00AF3F66">
      <w:pPr>
        <w:pStyle w:val="Heading2"/>
      </w:pPr>
      <w:r>
        <w:t>I</w:t>
      </w:r>
      <w:r w:rsidRPr="00262F60">
        <w:t>n making its decision to notify the PDP</w:t>
      </w:r>
      <w:r w:rsidR="00755EDD">
        <w:t>,</w:t>
      </w:r>
      <w:r w:rsidRPr="00262F60">
        <w:t xml:space="preserve"> </w:t>
      </w:r>
      <w:r w:rsidR="004043A1" w:rsidRPr="00262F60">
        <w:t xml:space="preserve">the WCC </w:t>
      </w:r>
      <w:proofErr w:type="gramStart"/>
      <w:r w:rsidR="004043A1" w:rsidRPr="00262F60">
        <w:t>Planning</w:t>
      </w:r>
      <w:proofErr w:type="gramEnd"/>
      <w:r w:rsidR="004043A1" w:rsidRPr="00262F60">
        <w:t xml:space="preserve"> and Environment Committee </w:t>
      </w:r>
      <w:r w:rsidR="008C7291">
        <w:t xml:space="preserve">reversed the position set out in the Spatial Plan and </w:t>
      </w:r>
      <w:r w:rsidR="003E24F4">
        <w:t xml:space="preserve">the </w:t>
      </w:r>
      <w:r w:rsidR="008C7291">
        <w:t xml:space="preserve">DDP, </w:t>
      </w:r>
      <w:r w:rsidR="00345445">
        <w:t xml:space="preserve">and </w:t>
      </w:r>
      <w:r>
        <w:t>determined</w:t>
      </w:r>
      <w:r w:rsidRPr="00262F60">
        <w:t xml:space="preserve"> </w:t>
      </w:r>
      <w:r w:rsidR="004865BF" w:rsidRPr="00262F60">
        <w:t>not to include the Johnsonville Rail Line</w:t>
      </w:r>
      <w:r w:rsidR="00755EDD">
        <w:t xml:space="preserve"> (</w:t>
      </w:r>
      <w:r w:rsidR="004865BF" w:rsidRPr="00262F60">
        <w:t xml:space="preserve">nor any of the stops </w:t>
      </w:r>
      <w:r w:rsidR="004865BF" w:rsidRPr="00262F60">
        <w:lastRenderedPageBreak/>
        <w:t>along the line</w:t>
      </w:r>
      <w:r w:rsidR="00755EDD">
        <w:t>)</w:t>
      </w:r>
      <w:r w:rsidR="004865BF" w:rsidRPr="00262F60">
        <w:t xml:space="preserve"> as a rapid transit line</w:t>
      </w:r>
      <w:r>
        <w:t>, with the effect that the walking catchment areas and additional height enabled around the rail stations would no longer apply.</w:t>
      </w:r>
      <w:r w:rsidRPr="00262F60">
        <w:rPr>
          <w:rStyle w:val="FootnoteReference"/>
        </w:rPr>
        <w:footnoteReference w:id="26"/>
      </w:r>
      <w:r w:rsidRPr="00262F60">
        <w:t xml:space="preserve"> </w:t>
      </w:r>
    </w:p>
    <w:p w14:paraId="375C9DFE" w14:textId="1AD79174" w:rsidR="00B913DF" w:rsidRPr="005C519C" w:rsidRDefault="00516AF3" w:rsidP="00B1115E">
      <w:pPr>
        <w:pStyle w:val="Heading2"/>
        <w:keepNext/>
      </w:pPr>
      <w:r>
        <w:t>The rationale for the decision was variously recorded as</w:t>
      </w:r>
      <w:r w:rsidR="00B913DF" w:rsidRPr="005C519C">
        <w:t>:</w:t>
      </w:r>
      <w:r w:rsidR="00FA7FF7">
        <w:rPr>
          <w:rStyle w:val="FootnoteReference"/>
        </w:rPr>
        <w:footnoteReference w:id="27"/>
      </w:r>
    </w:p>
    <w:p w14:paraId="5A2EABC2" w14:textId="760E5791" w:rsidR="00187BE6" w:rsidRPr="005C519C" w:rsidRDefault="00187BE6" w:rsidP="00B913DF">
      <w:pPr>
        <w:pStyle w:val="Heading3"/>
      </w:pPr>
      <w:r w:rsidRPr="005C519C">
        <w:t>There is a fragile basis upon which the Johnsonville Rail Line has been classified as rapid transit</w:t>
      </w:r>
      <w:r w:rsidR="008F12BE" w:rsidRPr="005C519C">
        <w:t xml:space="preserve">, namely under the </w:t>
      </w:r>
      <w:r w:rsidR="00DA3208">
        <w:t>RLTP</w:t>
      </w:r>
      <w:r w:rsidR="00940CB3" w:rsidRPr="005C519C">
        <w:t xml:space="preserve">.  Six storeys in that environment </w:t>
      </w:r>
      <w:r w:rsidR="00516AF3">
        <w:t>would constitute a significant change</w:t>
      </w:r>
      <w:r w:rsidR="004801B8">
        <w:t xml:space="preserve"> </w:t>
      </w:r>
      <w:r w:rsidR="00940CB3" w:rsidRPr="005C519C">
        <w:t xml:space="preserve">and </w:t>
      </w:r>
      <w:r w:rsidR="00516AF3">
        <w:t xml:space="preserve">there would need to be </w:t>
      </w:r>
      <w:r w:rsidR="00940CB3" w:rsidRPr="005C519C">
        <w:t>more weight behind the definition of rapid transit line</w:t>
      </w:r>
      <w:r w:rsidR="006D0916" w:rsidRPr="005C519C">
        <w:t xml:space="preserve"> to justify </w:t>
      </w:r>
      <w:proofErr w:type="gramStart"/>
      <w:r w:rsidR="006D0916" w:rsidRPr="005C519C">
        <w:t>it</w:t>
      </w:r>
      <w:r w:rsidRPr="005C519C">
        <w:t>;</w:t>
      </w:r>
      <w:proofErr w:type="gramEnd"/>
      <w:r w:rsidRPr="005C519C">
        <w:rPr>
          <w:rStyle w:val="FootnoteReference"/>
        </w:rPr>
        <w:footnoteReference w:id="28"/>
      </w:r>
    </w:p>
    <w:p w14:paraId="167E029B" w14:textId="080C4260" w:rsidR="00B913DF" w:rsidRPr="005C519C" w:rsidRDefault="00B913DF" w:rsidP="00B913DF">
      <w:pPr>
        <w:pStyle w:val="Heading3"/>
      </w:pPr>
      <w:r w:rsidRPr="005C519C">
        <w:t>The MDRS allows greater capacity to provide housing along the railway line;</w:t>
      </w:r>
      <w:r w:rsidRPr="005C519C">
        <w:rPr>
          <w:rStyle w:val="FootnoteReference"/>
        </w:rPr>
        <w:footnoteReference w:id="29"/>
      </w:r>
    </w:p>
    <w:p w14:paraId="595B1AC4" w14:textId="7A77613B" w:rsidR="00F60FF8" w:rsidRPr="005C519C" w:rsidRDefault="00F60FF8" w:rsidP="00B913DF">
      <w:pPr>
        <w:pStyle w:val="Heading3"/>
      </w:pPr>
      <w:r w:rsidRPr="005C519C">
        <w:t xml:space="preserve">The Onehunga line in Auckland is </w:t>
      </w:r>
      <w:proofErr w:type="gramStart"/>
      <w:r w:rsidRPr="005C519C">
        <w:t>similar to</w:t>
      </w:r>
      <w:proofErr w:type="gramEnd"/>
      <w:r w:rsidRPr="005C519C">
        <w:t xml:space="preserve"> the Johnsonville Rail Line.  Auckland </w:t>
      </w:r>
      <w:r w:rsidR="006C15EC">
        <w:t>T</w:t>
      </w:r>
      <w:r w:rsidRPr="005C519C">
        <w:t xml:space="preserve">ransport </w:t>
      </w:r>
      <w:r w:rsidR="00516AF3" w:rsidRPr="005C519C">
        <w:t>ha</w:t>
      </w:r>
      <w:r w:rsidR="00516AF3">
        <w:t>s</w:t>
      </w:r>
      <w:r w:rsidR="00516AF3" w:rsidRPr="005C519C">
        <w:t xml:space="preserve"> </w:t>
      </w:r>
      <w:r w:rsidRPr="005C519C">
        <w:t>not defined that line as a rapid transit line;</w:t>
      </w:r>
      <w:r w:rsidRPr="005C519C">
        <w:rPr>
          <w:rStyle w:val="FootnoteReference"/>
        </w:rPr>
        <w:footnoteReference w:id="30"/>
      </w:r>
      <w:r w:rsidRPr="005C519C">
        <w:t xml:space="preserve">  </w:t>
      </w:r>
    </w:p>
    <w:p w14:paraId="0254E9E9" w14:textId="44955E31" w:rsidR="00B913DF" w:rsidRPr="005C519C" w:rsidRDefault="00B913DF" w:rsidP="00B913DF">
      <w:pPr>
        <w:pStyle w:val="Heading3"/>
      </w:pPr>
      <w:r w:rsidRPr="005C519C">
        <w:t>Public buses are often quicker than the Johnsonville train;</w:t>
      </w:r>
      <w:r w:rsidRPr="005C519C">
        <w:rPr>
          <w:rStyle w:val="FootnoteReference"/>
        </w:rPr>
        <w:footnoteReference w:id="31"/>
      </w:r>
    </w:p>
    <w:p w14:paraId="314B5325" w14:textId="5455F55E" w:rsidR="00B913DF" w:rsidRPr="005C519C" w:rsidRDefault="00B913DF" w:rsidP="00B913DF">
      <w:pPr>
        <w:pStyle w:val="Heading3"/>
      </w:pPr>
      <w:r w:rsidRPr="005C519C">
        <w:t>The suburbs along the Johnsonville Rail Line do not have the capacity to have six or more storeys and will not be able to cope</w:t>
      </w:r>
      <w:r w:rsidR="00BB38EA" w:rsidRPr="005C519C">
        <w:t>.</w:t>
      </w:r>
      <w:r w:rsidRPr="005C519C">
        <w:rPr>
          <w:rStyle w:val="FootnoteReference"/>
        </w:rPr>
        <w:footnoteReference w:id="32"/>
      </w:r>
    </w:p>
    <w:p w14:paraId="497E55BE" w14:textId="6CA5B31D" w:rsidR="00402BF7" w:rsidRDefault="00402BF7" w:rsidP="00402BF7">
      <w:pPr>
        <w:pStyle w:val="Heading2"/>
      </w:pPr>
      <w:r>
        <w:t xml:space="preserve">None of the reasons provided justifies the decision not to identify </w:t>
      </w:r>
      <w:r w:rsidR="0077399A" w:rsidRPr="005C519C">
        <w:t>the Johnsonville Rail</w:t>
      </w:r>
      <w:r>
        <w:t xml:space="preserve"> as a rapid transit service. </w:t>
      </w:r>
    </w:p>
    <w:p w14:paraId="4E8360F8" w14:textId="612A8642" w:rsidR="00F77EE9" w:rsidRPr="008912C9" w:rsidRDefault="00402BF7" w:rsidP="00F77EE9">
      <w:pPr>
        <w:pStyle w:val="SubTitleBold"/>
      </w:pPr>
      <w:r>
        <w:t>Identification</w:t>
      </w:r>
      <w:r w:rsidR="002A7D80">
        <w:t xml:space="preserve"> of the Johnsonville Rail Line as “rapid transit” in</w:t>
      </w:r>
      <w:r w:rsidR="00E15786">
        <w:t xml:space="preserve"> </w:t>
      </w:r>
      <w:r w:rsidR="002A7D80">
        <w:t>t</w:t>
      </w:r>
      <w:r w:rsidR="006658B1" w:rsidRPr="008912C9">
        <w:t>he RLTP</w:t>
      </w:r>
      <w:r w:rsidR="005A0FB7">
        <w:t xml:space="preserve"> 2021</w:t>
      </w:r>
    </w:p>
    <w:p w14:paraId="40E60CC0" w14:textId="77777777" w:rsidR="00755EDD" w:rsidRDefault="0025044F" w:rsidP="002C10D5">
      <w:pPr>
        <w:pStyle w:val="Heading2"/>
      </w:pPr>
      <w:r w:rsidRPr="008912C9">
        <w:t>The Greater Wellington Regional Council identifies the Johnsonville line as rapid transit in the RLTP</w:t>
      </w:r>
      <w:r w:rsidR="007C043E" w:rsidRPr="008912C9">
        <w:t xml:space="preserve"> 2021</w:t>
      </w:r>
      <w:r w:rsidRPr="008912C9">
        <w:t>.</w:t>
      </w:r>
      <w:bookmarkStart w:id="11" w:name="_Ref111713049"/>
      <w:r w:rsidR="0030639D" w:rsidRPr="008912C9">
        <w:rPr>
          <w:rStyle w:val="FootnoteReference"/>
        </w:rPr>
        <w:footnoteReference w:id="33"/>
      </w:r>
      <w:bookmarkEnd w:id="11"/>
      <w:r w:rsidRPr="008912C9">
        <w:t xml:space="preserve">  </w:t>
      </w:r>
      <w:r w:rsidR="00B05F57">
        <w:t>T</w:t>
      </w:r>
      <w:r w:rsidR="00B05F57" w:rsidRPr="00FD083A">
        <w:t>he RLTP 2021</w:t>
      </w:r>
      <w:r w:rsidR="00755EDD">
        <w:t>:</w:t>
      </w:r>
    </w:p>
    <w:p w14:paraId="34DA081E" w14:textId="4FCF8FCA" w:rsidR="00755EDD" w:rsidRDefault="00755EDD" w:rsidP="00755EDD">
      <w:pPr>
        <w:pStyle w:val="Heading3"/>
      </w:pPr>
      <w:r>
        <w:t>W</w:t>
      </w:r>
      <w:r w:rsidRPr="008912C9">
        <w:t xml:space="preserve">as prepared </w:t>
      </w:r>
      <w:r>
        <w:t xml:space="preserve">following the promulgation of the NPS-UD and </w:t>
      </w:r>
      <w:r w:rsidRPr="008912C9">
        <w:t xml:space="preserve">identifies and references </w:t>
      </w:r>
      <w:r>
        <w:t>that document</w:t>
      </w:r>
      <w:r w:rsidRPr="008912C9">
        <w:t>.</w:t>
      </w:r>
    </w:p>
    <w:p w14:paraId="7AED31AD" w14:textId="7234091D" w:rsidR="00B05F57" w:rsidRDefault="00755EDD" w:rsidP="00755EDD">
      <w:pPr>
        <w:pStyle w:val="Heading3"/>
      </w:pPr>
      <w:r>
        <w:lastRenderedPageBreak/>
        <w:t>W</w:t>
      </w:r>
      <w:r w:rsidR="00B05F57">
        <w:t xml:space="preserve">as </w:t>
      </w:r>
      <w:r w:rsidR="00B05F57" w:rsidRPr="00FD083A">
        <w:t>prepared in collaboration with all councils in the Wellington Region (including WCC</w:t>
      </w:r>
      <w:r w:rsidR="009C358C" w:rsidRPr="00FD083A">
        <w:t>) and</w:t>
      </w:r>
      <w:r w:rsidR="00B05F57" w:rsidRPr="00FD083A">
        <w:t xml:space="preserve"> includes input from Waka Kotahi and KiwiRail.</w:t>
      </w:r>
      <w:r w:rsidR="00B05F57" w:rsidRPr="00FD083A">
        <w:rPr>
          <w:rStyle w:val="FootnoteReference"/>
        </w:rPr>
        <w:footnoteReference w:id="34"/>
      </w:r>
      <w:r w:rsidR="00B05F57" w:rsidRPr="00FD083A">
        <w:t xml:space="preserve"> </w:t>
      </w:r>
    </w:p>
    <w:p w14:paraId="2658CC18" w14:textId="77777777" w:rsidR="00B37169" w:rsidRDefault="00755EDD" w:rsidP="00B37169">
      <w:pPr>
        <w:pStyle w:val="Heading2"/>
      </w:pPr>
      <w:r>
        <w:t xml:space="preserve">The RLTP </w:t>
      </w:r>
      <w:r w:rsidR="002A7D80">
        <w:t xml:space="preserve">represents the best available source of information about what is and what is not a rapid transit service. </w:t>
      </w:r>
      <w:r w:rsidR="00B37169">
        <w:t xml:space="preserve">Although the RLTP has not been subject to a Schedule 1 process, the question of whether the rail line constitutes “rapid transit” is a largely a factual matter which the authors of the RLTP are best placed to assess. </w:t>
      </w:r>
    </w:p>
    <w:p w14:paraId="59AFEB74" w14:textId="379A8771" w:rsidR="00E672EE" w:rsidRDefault="002A7D80" w:rsidP="0038660F">
      <w:pPr>
        <w:pStyle w:val="Heading2"/>
      </w:pPr>
      <w:r>
        <w:t xml:space="preserve">That is consistent with the </w:t>
      </w:r>
      <w:r w:rsidR="00B05F57">
        <w:t xml:space="preserve">relevant definitions in the </w:t>
      </w:r>
      <w:r>
        <w:t>NPS-UD which provide that</w:t>
      </w:r>
      <w:r w:rsidR="00B05F57">
        <w:t xml:space="preserve"> identification of a transit service as “rapid transit” in the relevant RLTP indicates that the service should similarly be classified as “rapid transit” under the NPS</w:t>
      </w:r>
      <w:r w:rsidR="00E15786">
        <w:t>-</w:t>
      </w:r>
      <w:r w:rsidR="00B05F57">
        <w:t xml:space="preserve">UD. </w:t>
      </w:r>
    </w:p>
    <w:p w14:paraId="5A5880D3" w14:textId="5DCADF9E" w:rsidR="00E672EE" w:rsidRPr="004F3DE5" w:rsidRDefault="00E672EE" w:rsidP="00E672EE">
      <w:pPr>
        <w:pStyle w:val="Heading2"/>
      </w:pPr>
      <w:r>
        <w:t>Consistent with the RLTP</w:t>
      </w:r>
      <w:r w:rsidR="00755EDD">
        <w:t>,</w:t>
      </w:r>
      <w:r w:rsidR="00E15786">
        <w:t xml:space="preserve"> </w:t>
      </w:r>
      <w:r>
        <w:t>t</w:t>
      </w:r>
      <w:r w:rsidRPr="004F3DE5">
        <w:t>he MfE guidance references Wellington’s commuter rail services as an example of existing rapid transit stops.</w:t>
      </w:r>
      <w:r w:rsidRPr="004F3DE5">
        <w:rPr>
          <w:rStyle w:val="FootnoteReference"/>
        </w:rPr>
        <w:footnoteReference w:id="35"/>
      </w:r>
      <w:r w:rsidRPr="004F3DE5">
        <w:t xml:space="preserve">  </w:t>
      </w:r>
    </w:p>
    <w:p w14:paraId="028363BF" w14:textId="0236EEAE" w:rsidR="009D15F5" w:rsidRPr="002A7D80" w:rsidRDefault="002A7D80" w:rsidP="00E15786">
      <w:pPr>
        <w:pStyle w:val="Heading2"/>
        <w:numPr>
          <w:ilvl w:val="0"/>
          <w:numId w:val="0"/>
        </w:numPr>
        <w:ind w:left="720"/>
      </w:pPr>
      <w:r>
        <w:rPr>
          <w:b/>
          <w:bCs/>
        </w:rPr>
        <w:t>Johnsonville Rail Line meets NPS</w:t>
      </w:r>
      <w:r w:rsidR="00E15786">
        <w:rPr>
          <w:b/>
          <w:bCs/>
        </w:rPr>
        <w:t>-</w:t>
      </w:r>
      <w:r>
        <w:rPr>
          <w:b/>
          <w:bCs/>
        </w:rPr>
        <w:t>UD criteria for rapid transit</w:t>
      </w:r>
    </w:p>
    <w:p w14:paraId="0A12414A" w14:textId="6D134AA7" w:rsidR="007963A3" w:rsidRPr="00FD4B29" w:rsidRDefault="00B05F57" w:rsidP="00CE194C">
      <w:pPr>
        <w:pStyle w:val="Heading2"/>
      </w:pPr>
      <w:r>
        <w:t xml:space="preserve">The Johnsonville Rail </w:t>
      </w:r>
      <w:r w:rsidRPr="00CE194C">
        <w:t>Line</w:t>
      </w:r>
      <w:r>
        <w:t xml:space="preserve"> also meets the criteria set out in the definition of “rapid transit”. In this regard</w:t>
      </w:r>
      <w:r w:rsidR="00E15786">
        <w:t xml:space="preserve"> </w:t>
      </w:r>
      <w:r w:rsidR="00CB616A">
        <w:t xml:space="preserve">WCC has assessed the </w:t>
      </w:r>
      <w:r w:rsidR="00F76FD7" w:rsidRPr="00FD4B29">
        <w:t>Johnsonville Rail Line</w:t>
      </w:r>
      <w:r w:rsidR="00CF224D">
        <w:t xml:space="preserve"> as</w:t>
      </w:r>
      <w:r w:rsidR="007963A3" w:rsidRPr="00FD4B29">
        <w:t>:</w:t>
      </w:r>
      <w:r w:rsidR="0037004F" w:rsidRPr="00FD4B29">
        <w:rPr>
          <w:rStyle w:val="FootnoteReference"/>
        </w:rPr>
        <w:footnoteReference w:id="36"/>
      </w:r>
    </w:p>
    <w:p w14:paraId="2C0C4E74" w14:textId="129EF41F" w:rsidR="00F76FD7" w:rsidRPr="00FD4B29" w:rsidRDefault="00CF224D" w:rsidP="007963A3">
      <w:pPr>
        <w:pStyle w:val="Heading3"/>
      </w:pPr>
      <w:r>
        <w:t>F</w:t>
      </w:r>
      <w:r w:rsidR="00F76FD7" w:rsidRPr="00FD4B29">
        <w:t>requent</w:t>
      </w:r>
      <w:r w:rsidR="00B05F57">
        <w:t xml:space="preserve">. </w:t>
      </w:r>
      <w:r w:rsidR="0085554F">
        <w:t xml:space="preserve"> </w:t>
      </w:r>
      <w:r w:rsidR="00B05F57">
        <w:t>Under the</w:t>
      </w:r>
      <w:r w:rsidR="00F76FD7" w:rsidRPr="00FD4B29">
        <w:t xml:space="preserve"> One Network Framework PT1 category</w:t>
      </w:r>
      <w:r w:rsidR="00B05F57">
        <w:t xml:space="preserve">, </w:t>
      </w:r>
      <w:r w:rsidR="00F76FD7" w:rsidRPr="00FD4B29">
        <w:t>all metro rail corridors are “frequent</w:t>
      </w:r>
      <w:proofErr w:type="gramStart"/>
      <w:r w:rsidR="00F76FD7" w:rsidRPr="00FD4B29">
        <w:t>”</w:t>
      </w:r>
      <w:proofErr w:type="gramEnd"/>
      <w:r w:rsidR="00E77976" w:rsidRPr="00FD4B29">
        <w:t xml:space="preserve"> and the line </w:t>
      </w:r>
      <w:r w:rsidR="00B05F57" w:rsidRPr="00FD4B29">
        <w:t>operate</w:t>
      </w:r>
      <w:r w:rsidR="00B05F57">
        <w:t>s</w:t>
      </w:r>
      <w:r w:rsidR="00B05F57" w:rsidRPr="00FD4B29">
        <w:t xml:space="preserve"> </w:t>
      </w:r>
      <w:r w:rsidR="00E77976" w:rsidRPr="00FD4B29">
        <w:t>at 15-minute frequency</w:t>
      </w:r>
      <w:r w:rsidR="00F76FD7" w:rsidRPr="00FD4B29">
        <w:t xml:space="preserve">.  </w:t>
      </w:r>
    </w:p>
    <w:p w14:paraId="27EED527" w14:textId="65131591" w:rsidR="0013514F" w:rsidRDefault="00CF224D" w:rsidP="0013514F">
      <w:pPr>
        <w:pStyle w:val="Heading3"/>
      </w:pPr>
      <w:proofErr w:type="gramStart"/>
      <w:r>
        <w:t>H</w:t>
      </w:r>
      <w:r w:rsidR="0013514F" w:rsidRPr="00FD4B29">
        <w:t>igh-capacity</w:t>
      </w:r>
      <w:proofErr w:type="gramEnd"/>
      <w:r w:rsidR="0013514F" w:rsidRPr="00FD4B29">
        <w:t>, using the metric of bi-directional people movement of greater than 3,000 people a day.</w:t>
      </w:r>
    </w:p>
    <w:p w14:paraId="77791B75" w14:textId="32DF4C4A" w:rsidR="0013514F" w:rsidRPr="00FD4B29" w:rsidRDefault="00B37169" w:rsidP="0013514F">
      <w:pPr>
        <w:pStyle w:val="Heading3"/>
      </w:pPr>
      <w:proofErr w:type="gramStart"/>
      <w:r>
        <w:t>Generally</w:t>
      </w:r>
      <w:proofErr w:type="gramEnd"/>
      <w:r>
        <w:t xml:space="preserve"> </w:t>
      </w:r>
      <w:r w:rsidR="006062EF">
        <w:t>more reliable than a</w:t>
      </w:r>
      <w:r w:rsidR="00A77110">
        <w:t>n alternative</w:t>
      </w:r>
      <w:r w:rsidR="006062EF">
        <w:t xml:space="preserve"> bus service which can get delayed by heavy traffic.  In some </w:t>
      </w:r>
      <w:proofErr w:type="gramStart"/>
      <w:r w:rsidR="006062EF">
        <w:t>instances</w:t>
      </w:r>
      <w:proofErr w:type="gramEnd"/>
      <w:r w:rsidR="006062EF">
        <w:t xml:space="preserve"> </w:t>
      </w:r>
      <w:r w:rsidR="005B2CFB">
        <w:t xml:space="preserve">the </w:t>
      </w:r>
      <w:r w:rsidR="005B2CFB" w:rsidRPr="005B2CFB">
        <w:t>Johnsonville Rail Line</w:t>
      </w:r>
      <w:r w:rsidR="006062EF">
        <w:t xml:space="preserve"> may be slower, but overall the Johnsonville Rail Line has less variability in journey times compared with the public bus service.</w:t>
      </w:r>
      <w:r w:rsidR="0013514F" w:rsidRPr="0013514F">
        <w:t xml:space="preserve"> </w:t>
      </w:r>
      <w:r w:rsidR="0013514F">
        <w:t>Reliability is also planned to improve</w:t>
      </w:r>
      <w:r w:rsidR="0013514F" w:rsidRPr="00FD4B29">
        <w:t xml:space="preserve"> following </w:t>
      </w:r>
      <w:r w:rsidR="0013514F">
        <w:t xml:space="preserve">scheduled </w:t>
      </w:r>
      <w:r w:rsidR="0013514F" w:rsidRPr="00FD4B29">
        <w:t>resilience and service upgrades</w:t>
      </w:r>
      <w:r w:rsidR="001E32AA">
        <w:rPr>
          <w:rStyle w:val="FootnoteReference"/>
        </w:rPr>
        <w:footnoteReference w:id="37"/>
      </w:r>
      <w:r w:rsidR="0013514F" w:rsidRPr="00FD4B29">
        <w:t>; and</w:t>
      </w:r>
    </w:p>
    <w:p w14:paraId="151494CE" w14:textId="39344C8B" w:rsidR="00CB616A" w:rsidRDefault="00CF224D" w:rsidP="003D2597">
      <w:pPr>
        <w:pStyle w:val="Heading3"/>
      </w:pPr>
      <w:r>
        <w:lastRenderedPageBreak/>
        <w:t>Q</w:t>
      </w:r>
      <w:r w:rsidR="0013514F" w:rsidRPr="00FD4B29">
        <w:t>uick, up to the last three stations: Khandallah, Raroa and Johnsonville</w:t>
      </w:r>
      <w:r w:rsidR="0013514F">
        <w:t xml:space="preserve">. </w:t>
      </w:r>
    </w:p>
    <w:p w14:paraId="7EBDF19F" w14:textId="14F220B4" w:rsidR="00486D42" w:rsidRDefault="00FB346D" w:rsidP="00CB616A">
      <w:pPr>
        <w:pStyle w:val="Heading2"/>
      </w:pPr>
      <w:r>
        <w:t>In</w:t>
      </w:r>
      <w:r w:rsidR="00B1115E">
        <w:t xml:space="preserve"> assessing what is ‘quick’, </w:t>
      </w:r>
      <w:r>
        <w:t xml:space="preserve">GZ Inc considers that </w:t>
      </w:r>
      <w:r w:rsidR="00B1115E">
        <w:t xml:space="preserve">matters such as convenience and amenity are </w:t>
      </w:r>
      <w:r w:rsidR="007409D4">
        <w:t xml:space="preserve">also </w:t>
      </w:r>
      <w:r w:rsidR="00B1115E">
        <w:t>relevant</w:t>
      </w:r>
      <w:r w:rsidR="0013514F">
        <w:t xml:space="preserve"> insofar as they </w:t>
      </w:r>
      <w:r w:rsidR="00864709">
        <w:t>influence whether a journey is considered overall to be efficient</w:t>
      </w:r>
      <w:r w:rsidR="00B1115E">
        <w:t xml:space="preserve">.  Users may prefer the Johnsonville Rail Line </w:t>
      </w:r>
      <w:r w:rsidR="00A633DB">
        <w:t>over an alternative bus route</w:t>
      </w:r>
      <w:r w:rsidR="00486D42">
        <w:t xml:space="preserve"> for the following reasons:</w:t>
      </w:r>
    </w:p>
    <w:p w14:paraId="40B499A4" w14:textId="465DA1EF" w:rsidR="00B37169" w:rsidRDefault="00B37169" w:rsidP="00B37169">
      <w:pPr>
        <w:pStyle w:val="Heading3"/>
      </w:pPr>
      <w:r>
        <w:t>T</w:t>
      </w:r>
      <w:r w:rsidRPr="00486D42">
        <w:t xml:space="preserve">rain stations </w:t>
      </w:r>
      <w:r>
        <w:t xml:space="preserve">provide better protection from adverse weather, making journeys easier end-to-end.  </w:t>
      </w:r>
    </w:p>
    <w:p w14:paraId="6ADED751" w14:textId="46D4FFFD" w:rsidR="00B37169" w:rsidRDefault="00486D42" w:rsidP="00486D42">
      <w:pPr>
        <w:pStyle w:val="Heading3"/>
      </w:pPr>
      <w:r>
        <w:t>The</w:t>
      </w:r>
      <w:r w:rsidR="00B1115E">
        <w:t xml:space="preserve"> use of train stations </w:t>
      </w:r>
      <w:proofErr w:type="gramStart"/>
      <w:r w:rsidR="00B1115E">
        <w:t>provide</w:t>
      </w:r>
      <w:proofErr w:type="gramEnd"/>
      <w:r w:rsidR="00B1115E">
        <w:t xml:space="preserve"> more safety than a bus </w:t>
      </w:r>
      <w:r w:rsidR="007A63A7">
        <w:t>service</w:t>
      </w:r>
      <w:r w:rsidR="00791D82">
        <w:t xml:space="preserve"> </w:t>
      </w:r>
      <w:r w:rsidR="00B37169">
        <w:t xml:space="preserve">(and therefore greater certainty that a journey will be not be interrupted) </w:t>
      </w:r>
      <w:r w:rsidR="00791D82">
        <w:t>due to</w:t>
      </w:r>
      <w:r w:rsidR="00B37169">
        <w:t>:</w:t>
      </w:r>
    </w:p>
    <w:p w14:paraId="033AF90E" w14:textId="185F8439" w:rsidR="00486D42" w:rsidRDefault="00791D82" w:rsidP="00B37169">
      <w:pPr>
        <w:pStyle w:val="Heading4"/>
      </w:pPr>
      <w:r>
        <w:t>increased passive surveillance from other users and activities at the platform such as cafes</w:t>
      </w:r>
      <w:r w:rsidR="00486D42">
        <w:t>;</w:t>
      </w:r>
      <w:r w:rsidR="00B37169">
        <w:t xml:space="preserve"> and</w:t>
      </w:r>
    </w:p>
    <w:p w14:paraId="7BA80616" w14:textId="6F0FA168" w:rsidR="00486D42" w:rsidRDefault="00B37169" w:rsidP="00B37169">
      <w:pPr>
        <w:pStyle w:val="Heading4"/>
      </w:pPr>
      <w:r>
        <w:t>Better lighting of t</w:t>
      </w:r>
      <w:r w:rsidR="00486D42" w:rsidRPr="00486D42">
        <w:t xml:space="preserve">rain stations </w:t>
      </w:r>
      <w:r w:rsidR="00486D42">
        <w:t xml:space="preserve">and trains </w:t>
      </w:r>
      <w:r w:rsidR="00B1115E">
        <w:t>at night</w:t>
      </w:r>
      <w:r>
        <w:t>.</w:t>
      </w:r>
      <w:r w:rsidR="00B1115E">
        <w:t xml:space="preserve"> </w:t>
      </w:r>
    </w:p>
    <w:p w14:paraId="3D0F23D0" w14:textId="4D77E35D" w:rsidR="00E672EE" w:rsidRDefault="00E672EE" w:rsidP="00EB58AB">
      <w:pPr>
        <w:pStyle w:val="Heading2"/>
        <w:keepNext/>
      </w:pPr>
      <w:r>
        <w:t>In terms of the reasons provided</w:t>
      </w:r>
      <w:r w:rsidR="00B37169">
        <w:t xml:space="preserve"> by WCC</w:t>
      </w:r>
      <w:r>
        <w:t xml:space="preserve"> for not classifying the Johnsonville Rail line as “rapid transit”</w:t>
      </w:r>
      <w:r w:rsidR="00402A6A">
        <w:t>:</w:t>
      </w:r>
    </w:p>
    <w:p w14:paraId="3DEB668D" w14:textId="622EEB8B" w:rsidR="001649D9" w:rsidRDefault="00BA5D6B" w:rsidP="00E15786">
      <w:pPr>
        <w:pStyle w:val="Heading3"/>
      </w:pPr>
      <w:r w:rsidRPr="00B333ED">
        <w:t>The i</w:t>
      </w:r>
      <w:r w:rsidR="00B75749" w:rsidRPr="00B333ED">
        <w:t xml:space="preserve">nterpretation </w:t>
      </w:r>
      <w:r w:rsidRPr="00B333ED">
        <w:t xml:space="preserve">of </w:t>
      </w:r>
      <w:r w:rsidRPr="00B333ED">
        <w:rPr>
          <w:i/>
          <w:iCs/>
        </w:rPr>
        <w:t>“frequent, quick, reliable and high-capacity</w:t>
      </w:r>
      <w:r w:rsidR="00602166" w:rsidRPr="00B333ED">
        <w:rPr>
          <w:i/>
          <w:iCs/>
        </w:rPr>
        <w:t>”</w:t>
      </w:r>
      <w:r w:rsidRPr="00B333ED">
        <w:rPr>
          <w:i/>
          <w:iCs/>
        </w:rPr>
        <w:t xml:space="preserve"> </w:t>
      </w:r>
      <w:r w:rsidRPr="00B333ED">
        <w:t xml:space="preserve">should be informed by the </w:t>
      </w:r>
      <w:r w:rsidR="00B75749" w:rsidRPr="00B333ED">
        <w:t xml:space="preserve">intent of </w:t>
      </w:r>
      <w:r w:rsidRPr="00B333ED">
        <w:t xml:space="preserve">the </w:t>
      </w:r>
      <w:r w:rsidR="00B75749" w:rsidRPr="00B333ED">
        <w:t>NPS</w:t>
      </w:r>
      <w:r w:rsidR="002C3753" w:rsidRPr="00B333ED">
        <w:t>-</w:t>
      </w:r>
      <w:r w:rsidR="00B75749" w:rsidRPr="00B333ED">
        <w:t>UD</w:t>
      </w:r>
      <w:r w:rsidRPr="00B333ED">
        <w:t xml:space="preserve">.  The </w:t>
      </w:r>
      <w:r w:rsidR="009A2D76" w:rsidRPr="00B333ED">
        <w:t>NP</w:t>
      </w:r>
      <w:r w:rsidR="00480432">
        <w:t>S</w:t>
      </w:r>
      <w:r w:rsidR="009A2D76" w:rsidRPr="00B333ED">
        <w:t xml:space="preserve">-UD </w:t>
      </w:r>
      <w:r w:rsidRPr="00B333ED">
        <w:t xml:space="preserve">policies require intensification around existing and planned rapid transit stops, thereby indicating that if people </w:t>
      </w:r>
      <w:r w:rsidR="00C76E29" w:rsidRPr="00B333ED">
        <w:t>are facilitated to</w:t>
      </w:r>
      <w:r w:rsidRPr="00B333ED">
        <w:t xml:space="preserve"> live close to these locations</w:t>
      </w:r>
      <w:r w:rsidR="0001349B" w:rsidRPr="00B333ED">
        <w:t xml:space="preserve">, </w:t>
      </w:r>
      <w:r w:rsidR="009A2D76" w:rsidRPr="00B333ED">
        <w:t>thi</w:t>
      </w:r>
      <w:r w:rsidR="004A205B" w:rsidRPr="00B333ED">
        <w:t>s</w:t>
      </w:r>
      <w:r w:rsidR="009A2D76" w:rsidRPr="00B333ED">
        <w:t xml:space="preserve"> will enable them to</w:t>
      </w:r>
      <w:r w:rsidRPr="00B333ED">
        <w:t xml:space="preserve"> access their jobs more efficiently thereby contributing to well-functioning urban environment</w:t>
      </w:r>
      <w:r w:rsidR="00367E50">
        <w:t>s</w:t>
      </w:r>
      <w:r w:rsidRPr="00B333ED">
        <w:t>.</w:t>
      </w:r>
      <w:r w:rsidR="00AD347D">
        <w:t xml:space="preserve">  </w:t>
      </w:r>
    </w:p>
    <w:p w14:paraId="773FC571" w14:textId="4B0DF6CE" w:rsidR="00E672EE" w:rsidRDefault="00F61B08" w:rsidP="00E672EE">
      <w:pPr>
        <w:pStyle w:val="Heading3"/>
      </w:pPr>
      <w:r>
        <w:t xml:space="preserve">Neither </w:t>
      </w:r>
      <w:r w:rsidRPr="000C1390">
        <w:t xml:space="preserve">the </w:t>
      </w:r>
      <w:r w:rsidR="00AD347D" w:rsidRPr="000C1390">
        <w:t xml:space="preserve">NPS-UD </w:t>
      </w:r>
      <w:r w:rsidRPr="000C1390">
        <w:t xml:space="preserve">nor the MfE guidance </w:t>
      </w:r>
      <w:r w:rsidR="00AD347D" w:rsidRPr="000C1390">
        <w:t xml:space="preserve">state that a comparison </w:t>
      </w:r>
      <w:r w:rsidR="004E1BB9">
        <w:t xml:space="preserve">should </w:t>
      </w:r>
      <w:r w:rsidR="00AD347D" w:rsidRPr="000C1390">
        <w:t xml:space="preserve">be made between the travel times on buses and trains in </w:t>
      </w:r>
      <w:r w:rsidR="0035170A">
        <w:t xml:space="preserve">a location </w:t>
      </w:r>
      <w:proofErr w:type="gramStart"/>
      <w:r w:rsidR="0035170A">
        <w:t xml:space="preserve">in </w:t>
      </w:r>
      <w:r w:rsidR="00AD347D" w:rsidRPr="000C1390">
        <w:t>order to</w:t>
      </w:r>
      <w:proofErr w:type="gramEnd"/>
      <w:r w:rsidR="00AD347D" w:rsidRPr="000C1390">
        <w:t xml:space="preserve"> determine that </w:t>
      </w:r>
      <w:r w:rsidR="0035170A">
        <w:t xml:space="preserve">a </w:t>
      </w:r>
      <w:r w:rsidR="00716B69">
        <w:t>public transport mode is</w:t>
      </w:r>
      <w:r w:rsidR="0035170A">
        <w:t xml:space="preserve"> </w:t>
      </w:r>
      <w:r w:rsidR="000C1390" w:rsidRPr="000C1390">
        <w:t>‘</w:t>
      </w:r>
      <w:r w:rsidR="0019483F" w:rsidRPr="000C1390">
        <w:t>quick</w:t>
      </w:r>
      <w:r w:rsidR="000C1390" w:rsidRPr="000C1390">
        <w:t>’</w:t>
      </w:r>
      <w:r w:rsidR="0019483F" w:rsidRPr="000C1390">
        <w:t xml:space="preserve"> and meet</w:t>
      </w:r>
      <w:r w:rsidR="0035170A">
        <w:t>s</w:t>
      </w:r>
      <w:r w:rsidR="0019483F" w:rsidRPr="000C1390">
        <w:t xml:space="preserve"> the definition of </w:t>
      </w:r>
      <w:r w:rsidR="00AD347D" w:rsidRPr="000C1390">
        <w:t>rapid transit.</w:t>
      </w:r>
      <w:r w:rsidR="006A3349">
        <w:t xml:space="preserve">  </w:t>
      </w:r>
    </w:p>
    <w:p w14:paraId="017F94F5" w14:textId="0462E826" w:rsidR="00B75749" w:rsidRPr="00B333ED" w:rsidRDefault="00DE5AB8" w:rsidP="00E15786">
      <w:pPr>
        <w:pStyle w:val="Heading3"/>
      </w:pPr>
      <w:r>
        <w:t xml:space="preserve">The Johnsonville Rail Line is not equivalent to the Onehunga Line. </w:t>
      </w:r>
      <w:r w:rsidR="00CB01A3" w:rsidRPr="008B7443">
        <w:t xml:space="preserve">Auckland Council has stated that the Onehunga Line is </w:t>
      </w:r>
      <w:r w:rsidR="00CB01A3" w:rsidRPr="008B7443">
        <w:rPr>
          <w:i/>
          <w:iCs/>
        </w:rPr>
        <w:t>“is not considered rapid transit as it is not planned to reach a 15-minute service frequency.”</w:t>
      </w:r>
      <w:r w:rsidR="00CB01A3" w:rsidRPr="008B7443">
        <w:rPr>
          <w:rStyle w:val="FootnoteReference"/>
          <w:i/>
          <w:iCs/>
        </w:rPr>
        <w:footnoteReference w:id="38"/>
      </w:r>
      <w:r w:rsidR="006A22FC" w:rsidRPr="008B7443">
        <w:t xml:space="preserve">  </w:t>
      </w:r>
      <w:r w:rsidR="00543763" w:rsidRPr="008B7443">
        <w:t xml:space="preserve">The Johnsonville Rail Line </w:t>
      </w:r>
      <w:r w:rsidR="00525A47" w:rsidRPr="008B7443">
        <w:t xml:space="preserve">operates during peak </w:t>
      </w:r>
      <w:r w:rsidR="00525A47" w:rsidRPr="008B7443">
        <w:lastRenderedPageBreak/>
        <w:t>times every 15 minutes while off-peak it is either every 30-minutes or hourly.</w:t>
      </w:r>
      <w:r w:rsidR="00AB15AC" w:rsidRPr="008B7443">
        <w:rPr>
          <w:rStyle w:val="FootnoteReference"/>
        </w:rPr>
        <w:footnoteReference w:id="39"/>
      </w:r>
      <w:r w:rsidR="00490113">
        <w:t xml:space="preserve">  Further, Council officers have concluded it is frequent.</w:t>
      </w:r>
    </w:p>
    <w:p w14:paraId="2E7E86B8" w14:textId="45F017EA" w:rsidR="008313B4" w:rsidRDefault="00DE5AB8" w:rsidP="00E15786">
      <w:pPr>
        <w:pStyle w:val="Heading3"/>
      </w:pPr>
      <w:r>
        <w:t>I</w:t>
      </w:r>
      <w:r w:rsidR="0006129C" w:rsidRPr="00F901D0">
        <w:t>ntensification of development along the line will in turn increase patronage</w:t>
      </w:r>
      <w:r w:rsidR="00326F6C">
        <w:t>.  An increase in patronage</w:t>
      </w:r>
      <w:r w:rsidR="0006129C" w:rsidRPr="00F901D0">
        <w:t xml:space="preserve"> will </w:t>
      </w:r>
      <w:r w:rsidR="00326F6C">
        <w:t>assist with f</w:t>
      </w:r>
      <w:r w:rsidR="0006129C" w:rsidRPr="00F901D0">
        <w:t>und</w:t>
      </w:r>
      <w:r w:rsidR="00A70DF6" w:rsidRPr="00F901D0">
        <w:t>ing</w:t>
      </w:r>
      <w:r w:rsidR="0006129C" w:rsidRPr="00F901D0">
        <w:t xml:space="preserve"> improv</w:t>
      </w:r>
      <w:r w:rsidR="00A70DF6" w:rsidRPr="00F901D0">
        <w:t>ements to</w:t>
      </w:r>
      <w:r w:rsidR="0006129C" w:rsidRPr="00F901D0">
        <w:t xml:space="preserve"> the service.  </w:t>
      </w:r>
    </w:p>
    <w:p w14:paraId="12BFB048" w14:textId="77777777" w:rsidR="00542AA5" w:rsidRDefault="00542AA5" w:rsidP="00542AA5">
      <w:pPr>
        <w:pStyle w:val="SubTitleBold"/>
      </w:pPr>
      <w:r>
        <w:t xml:space="preserve">Identification of the </w:t>
      </w:r>
      <w:r w:rsidRPr="00542AA5">
        <w:t>Johnsonville Rail Line as “rapid transit”</w:t>
      </w:r>
      <w:r>
        <w:t xml:space="preserve"> is consistent with the policy direction of the NPS-UD</w:t>
      </w:r>
    </w:p>
    <w:p w14:paraId="0882AC52" w14:textId="1D38D66E" w:rsidR="00A07225" w:rsidRDefault="00A07225" w:rsidP="00542AA5">
      <w:pPr>
        <w:pStyle w:val="Heading2"/>
      </w:pPr>
      <w:r>
        <w:t xml:space="preserve">The intent of the NPS-UD is to enable </w:t>
      </w:r>
      <w:r w:rsidR="009D7105">
        <w:t xml:space="preserve">greater </w:t>
      </w:r>
      <w:r>
        <w:t xml:space="preserve">intensification around high-demand areas </w:t>
      </w:r>
      <w:proofErr w:type="gramStart"/>
      <w:r>
        <w:t>i.e.</w:t>
      </w:r>
      <w:proofErr w:type="gramEnd"/>
      <w:r>
        <w:t xml:space="preserve"> City Centre and Metropolitan Zones and rapid transit stops.</w:t>
      </w:r>
    </w:p>
    <w:p w14:paraId="036ECF1C" w14:textId="0F0C1FFB" w:rsidR="00697507" w:rsidRPr="009D7105" w:rsidRDefault="009D7105" w:rsidP="00542AA5">
      <w:pPr>
        <w:pStyle w:val="Heading2"/>
      </w:pPr>
      <w:r w:rsidRPr="009D7105">
        <w:t>L</w:t>
      </w:r>
      <w:r w:rsidR="00697507" w:rsidRPr="009D7105">
        <w:t xml:space="preserve">and prices are typically much higher around </w:t>
      </w:r>
      <w:r w:rsidRPr="009D7105">
        <w:t>railway</w:t>
      </w:r>
      <w:r w:rsidR="00697507" w:rsidRPr="009D7105">
        <w:t xml:space="preserve"> lines, indicating the increased economic and social opportunities and access </w:t>
      </w:r>
      <w:r w:rsidR="007A1159">
        <w:t xml:space="preserve">railway </w:t>
      </w:r>
      <w:r w:rsidR="00697507" w:rsidRPr="009D7105">
        <w:t>service</w:t>
      </w:r>
      <w:r w:rsidR="007A1159">
        <w:t>s</w:t>
      </w:r>
      <w:r w:rsidR="00697507" w:rsidRPr="009D7105">
        <w:t xml:space="preserve"> provide.</w:t>
      </w:r>
      <w:r w:rsidRPr="009D7105">
        <w:t xml:space="preserve">  The NP</w:t>
      </w:r>
      <w:r w:rsidR="006F489A">
        <w:t>S</w:t>
      </w:r>
      <w:r w:rsidRPr="009D7105">
        <w:t>-US responds to this market demand by enabling higher intensification</w:t>
      </w:r>
      <w:r w:rsidR="00697507" w:rsidRPr="009D7105">
        <w:t xml:space="preserve"> </w:t>
      </w:r>
      <w:r w:rsidR="000E4A78">
        <w:t>of development</w:t>
      </w:r>
      <w:r w:rsidR="00697507" w:rsidRPr="009D7105">
        <w:t xml:space="preserve"> </w:t>
      </w:r>
      <w:r w:rsidRPr="009D7105">
        <w:t>in</w:t>
      </w:r>
      <w:r w:rsidR="00697507" w:rsidRPr="009D7105">
        <w:t xml:space="preserve"> places of high demand.</w:t>
      </w:r>
    </w:p>
    <w:p w14:paraId="0A07BE9B" w14:textId="01107F15" w:rsidR="009D7105" w:rsidRPr="009D7105" w:rsidRDefault="009D7105" w:rsidP="00542AA5">
      <w:pPr>
        <w:pStyle w:val="Heading2"/>
      </w:pPr>
      <w:r w:rsidRPr="009D7105">
        <w:t xml:space="preserve">Further, the </w:t>
      </w:r>
      <w:r w:rsidR="00697507" w:rsidRPr="009D7105">
        <w:t>NPS</w:t>
      </w:r>
      <w:r w:rsidRPr="009D7105">
        <w:t>-</w:t>
      </w:r>
      <w:r w:rsidR="00697507" w:rsidRPr="009D7105">
        <w:t xml:space="preserve">UD </w:t>
      </w:r>
      <w:r w:rsidR="00864709">
        <w:t>is intended to</w:t>
      </w:r>
      <w:r w:rsidR="00697507" w:rsidRPr="009D7105">
        <w:t xml:space="preserve"> align new higher density development along places with existing infrastructure. Th</w:t>
      </w:r>
      <w:r w:rsidR="007D1447" w:rsidRPr="009D7105">
        <w:t xml:space="preserve">e Johnsonville Rail Line </w:t>
      </w:r>
      <w:r w:rsidR="00697507" w:rsidRPr="009D7105">
        <w:t xml:space="preserve">is underused and has spare capacity. </w:t>
      </w:r>
      <w:r w:rsidR="007D1447" w:rsidRPr="009D7105">
        <w:t xml:space="preserve"> </w:t>
      </w:r>
    </w:p>
    <w:p w14:paraId="26D24D91" w14:textId="75C4F4AA" w:rsidR="00697507" w:rsidRPr="009D7105" w:rsidRDefault="009D7105" w:rsidP="00542AA5">
      <w:pPr>
        <w:pStyle w:val="Heading2"/>
      </w:pPr>
      <w:r w:rsidRPr="009D7105">
        <w:t xml:space="preserve">Lastly, </w:t>
      </w:r>
      <w:r w:rsidR="00DA40AF">
        <w:t>d</w:t>
      </w:r>
      <w:r w:rsidR="007D1447" w:rsidRPr="009D7105">
        <w:t xml:space="preserve">esignating the Johnsonville Rail Line as rapid transit </w:t>
      </w:r>
      <w:r w:rsidR="00697507" w:rsidRPr="009D7105">
        <w:t>is in line with the policy intent of the NPS</w:t>
      </w:r>
      <w:r w:rsidR="007D1447" w:rsidRPr="009D7105">
        <w:t>-</w:t>
      </w:r>
      <w:r w:rsidR="00697507" w:rsidRPr="009D7105">
        <w:t xml:space="preserve">UD to </w:t>
      </w:r>
      <w:r w:rsidR="00AF09D1" w:rsidRPr="009D7105">
        <w:t xml:space="preserve">support </w:t>
      </w:r>
      <w:r w:rsidR="007D1447" w:rsidRPr="009D7105">
        <w:t>reduc</w:t>
      </w:r>
      <w:r w:rsidR="00AF09D1" w:rsidRPr="009D7105">
        <w:t>tions in</w:t>
      </w:r>
      <w:r w:rsidR="007D1447" w:rsidRPr="009D7105">
        <w:t xml:space="preserve"> </w:t>
      </w:r>
      <w:r w:rsidR="00AF09D1" w:rsidRPr="009D7105">
        <w:t xml:space="preserve">greenhouse </w:t>
      </w:r>
      <w:r w:rsidR="007D1447" w:rsidRPr="009D7105">
        <w:t>emissions</w:t>
      </w:r>
      <w:r w:rsidR="00AF09D1" w:rsidRPr="009D7105">
        <w:t xml:space="preserve"> </w:t>
      </w:r>
      <w:r w:rsidR="00697507" w:rsidRPr="009D7105">
        <w:t xml:space="preserve">and </w:t>
      </w:r>
      <w:r w:rsidR="007D1447" w:rsidRPr="009D7105">
        <w:t xml:space="preserve">provide </w:t>
      </w:r>
      <w:r w:rsidR="00AF09D1" w:rsidRPr="009D7105">
        <w:t>good accessibility between housing and jobs by way of public transport.</w:t>
      </w:r>
      <w:r w:rsidR="00AF09D1" w:rsidRPr="009D7105">
        <w:rPr>
          <w:rStyle w:val="FootnoteReference"/>
        </w:rPr>
        <w:footnoteReference w:id="40"/>
      </w:r>
    </w:p>
    <w:p w14:paraId="470A5AA9" w14:textId="2C4185ED" w:rsidR="00D63C44" w:rsidRPr="00FE6D11" w:rsidRDefault="00D63C44" w:rsidP="0043305C">
      <w:pPr>
        <w:pStyle w:val="SubTitleBold"/>
      </w:pPr>
      <w:r w:rsidRPr="00FE6D11">
        <w:t>Relief sought</w:t>
      </w:r>
    </w:p>
    <w:p w14:paraId="730576AF" w14:textId="2E042081" w:rsidR="00BC7C0A" w:rsidRPr="00FE6D11" w:rsidRDefault="00DE5AB8" w:rsidP="0043305C">
      <w:pPr>
        <w:pStyle w:val="Heading2"/>
        <w:keepNext/>
      </w:pPr>
      <w:bookmarkStart w:id="12" w:name="_Ref110949553"/>
      <w:r w:rsidRPr="00FE6D11">
        <w:t>GZ Inc seeks the following relief</w:t>
      </w:r>
      <w:r w:rsidR="00BC7C0A" w:rsidRPr="00FE6D11">
        <w:t>:</w:t>
      </w:r>
      <w:bookmarkEnd w:id="12"/>
    </w:p>
    <w:p w14:paraId="2427D4F5" w14:textId="2E788012" w:rsidR="00105BC8" w:rsidRPr="00FE6D11" w:rsidRDefault="00105BC8" w:rsidP="00BC7C0A">
      <w:pPr>
        <w:pStyle w:val="Heading3"/>
      </w:pPr>
      <w:r w:rsidRPr="00FE6D11">
        <w:t xml:space="preserve">The definition of rapid transit stop </w:t>
      </w:r>
      <w:r w:rsidR="00092FCE" w:rsidRPr="00FE6D11">
        <w:t xml:space="preserve">in the PDP </w:t>
      </w:r>
      <w:r w:rsidRPr="00FE6D11">
        <w:t>is amended as follows:</w:t>
      </w:r>
    </w:p>
    <w:p w14:paraId="2F31667C" w14:textId="661151A7" w:rsidR="00105BC8" w:rsidRPr="00FE6D11" w:rsidRDefault="00105BC8" w:rsidP="00105BC8">
      <w:pPr>
        <w:pStyle w:val="Quote"/>
        <w:spacing w:after="120"/>
        <w:ind w:left="2160"/>
      </w:pPr>
      <w:r w:rsidRPr="00FE6D11">
        <w:t>“RAPID TRANSIT STOP means a place where people can enter or exit a rapid transit service, whether existing or planned.</w:t>
      </w:r>
    </w:p>
    <w:p w14:paraId="417656A6" w14:textId="11C2388A" w:rsidR="00105BC8" w:rsidRPr="00FE6D11" w:rsidRDefault="00105BC8" w:rsidP="00105BC8">
      <w:pPr>
        <w:pStyle w:val="Quote"/>
        <w:spacing w:after="120"/>
        <w:ind w:left="2160"/>
        <w:rPr>
          <w:u w:val="single"/>
        </w:rPr>
      </w:pPr>
      <w:r w:rsidRPr="00FE6D11">
        <w:rPr>
          <w:u w:val="single"/>
        </w:rPr>
        <w:t>Th</w:t>
      </w:r>
      <w:r w:rsidR="003F332E" w:rsidRPr="00FE6D11">
        <w:rPr>
          <w:u w:val="single"/>
        </w:rPr>
        <w:t>e</w:t>
      </w:r>
      <w:r w:rsidRPr="00FE6D11">
        <w:rPr>
          <w:u w:val="single"/>
        </w:rPr>
        <w:t xml:space="preserve"> following stations on the Kapiti Line are rapid transit stops:</w:t>
      </w:r>
    </w:p>
    <w:p w14:paraId="309A43DB" w14:textId="037E2AC4" w:rsidR="00105BC8" w:rsidRPr="00FE6D11" w:rsidRDefault="00105BC8" w:rsidP="00105BC8">
      <w:pPr>
        <w:pStyle w:val="Quote"/>
        <w:spacing w:after="0"/>
        <w:ind w:left="2160"/>
        <w:rPr>
          <w:u w:val="single"/>
        </w:rPr>
      </w:pPr>
      <w:r w:rsidRPr="00FE6D11">
        <w:rPr>
          <w:u w:val="single"/>
        </w:rPr>
        <w:t>• Wellington Station</w:t>
      </w:r>
    </w:p>
    <w:p w14:paraId="2929FF1A" w14:textId="77777777" w:rsidR="00105BC8" w:rsidRPr="00FE6D11" w:rsidRDefault="00105BC8" w:rsidP="00105BC8">
      <w:pPr>
        <w:pStyle w:val="Quote"/>
        <w:spacing w:after="0"/>
        <w:ind w:left="2160"/>
        <w:rPr>
          <w:u w:val="single"/>
        </w:rPr>
      </w:pPr>
      <w:r w:rsidRPr="00FE6D11">
        <w:rPr>
          <w:u w:val="single"/>
        </w:rPr>
        <w:t>• Takapu Road Station</w:t>
      </w:r>
    </w:p>
    <w:p w14:paraId="4B2C5A6B" w14:textId="77777777" w:rsidR="00105BC8" w:rsidRPr="00FE6D11" w:rsidRDefault="00105BC8" w:rsidP="00105BC8">
      <w:pPr>
        <w:pStyle w:val="Quote"/>
        <w:spacing w:after="0"/>
        <w:ind w:left="2160"/>
        <w:rPr>
          <w:u w:val="single"/>
        </w:rPr>
      </w:pPr>
      <w:r w:rsidRPr="00FE6D11">
        <w:rPr>
          <w:u w:val="single"/>
        </w:rPr>
        <w:t>• Redwood Station</w:t>
      </w:r>
    </w:p>
    <w:p w14:paraId="7F9589C4" w14:textId="77777777" w:rsidR="00105BC8" w:rsidRPr="00FE6D11" w:rsidRDefault="00105BC8" w:rsidP="00105BC8">
      <w:pPr>
        <w:pStyle w:val="Quote"/>
        <w:spacing w:after="0"/>
        <w:ind w:left="2160"/>
        <w:rPr>
          <w:u w:val="single"/>
        </w:rPr>
      </w:pPr>
      <w:r w:rsidRPr="00FE6D11">
        <w:rPr>
          <w:u w:val="single"/>
        </w:rPr>
        <w:t>• Tawa Station</w:t>
      </w:r>
    </w:p>
    <w:p w14:paraId="26D32EAC" w14:textId="77777777" w:rsidR="00105BC8" w:rsidRPr="00FE6D11" w:rsidRDefault="00105BC8" w:rsidP="00105BC8">
      <w:pPr>
        <w:pStyle w:val="Quote"/>
        <w:spacing w:after="0"/>
        <w:ind w:left="2160"/>
        <w:rPr>
          <w:u w:val="single"/>
        </w:rPr>
      </w:pPr>
      <w:r w:rsidRPr="00FE6D11">
        <w:rPr>
          <w:u w:val="single"/>
        </w:rPr>
        <w:t>• Linden Station</w:t>
      </w:r>
    </w:p>
    <w:p w14:paraId="3BC8ABCE" w14:textId="50B0D76C" w:rsidR="00105BC8" w:rsidRPr="00FE6D11" w:rsidRDefault="00105BC8" w:rsidP="00105BC8">
      <w:pPr>
        <w:pStyle w:val="Quote"/>
        <w:ind w:left="2160"/>
        <w:rPr>
          <w:u w:val="single"/>
        </w:rPr>
      </w:pPr>
      <w:r w:rsidRPr="00FE6D11">
        <w:rPr>
          <w:u w:val="single"/>
        </w:rPr>
        <w:t>• Kenepuru Station</w:t>
      </w:r>
    </w:p>
    <w:p w14:paraId="1C984F99" w14:textId="39F27862" w:rsidR="00105BC8" w:rsidRPr="00FE6D11" w:rsidRDefault="00105BC8" w:rsidP="00105BC8">
      <w:pPr>
        <w:pStyle w:val="Quote"/>
        <w:spacing w:after="120"/>
        <w:ind w:left="2160"/>
        <w:rPr>
          <w:u w:val="single"/>
        </w:rPr>
      </w:pPr>
      <w:r w:rsidRPr="00FE6D11">
        <w:rPr>
          <w:u w:val="single"/>
        </w:rPr>
        <w:lastRenderedPageBreak/>
        <w:t>Th</w:t>
      </w:r>
      <w:r w:rsidR="007362CA" w:rsidRPr="00FE6D11">
        <w:rPr>
          <w:u w:val="single"/>
        </w:rPr>
        <w:t>e</w:t>
      </w:r>
      <w:r w:rsidRPr="00FE6D11">
        <w:rPr>
          <w:u w:val="single"/>
        </w:rPr>
        <w:t xml:space="preserve"> following stations on the Johnsonville Line are rapid transit stops:</w:t>
      </w:r>
    </w:p>
    <w:p w14:paraId="5082D6E9" w14:textId="2F2FE19E" w:rsidR="00105BC8" w:rsidRPr="00FE6D11" w:rsidRDefault="00105BC8" w:rsidP="00105BC8">
      <w:pPr>
        <w:pStyle w:val="Quote"/>
        <w:spacing w:after="0"/>
        <w:ind w:left="2160"/>
        <w:rPr>
          <w:u w:val="single"/>
        </w:rPr>
      </w:pPr>
      <w:r w:rsidRPr="00FE6D11">
        <w:rPr>
          <w:u w:val="single"/>
        </w:rPr>
        <w:t>• Crofton Downs Station</w:t>
      </w:r>
    </w:p>
    <w:p w14:paraId="467B894D" w14:textId="10402D9F" w:rsidR="00105BC8" w:rsidRPr="00FE6D11" w:rsidRDefault="00105BC8" w:rsidP="00105BC8">
      <w:pPr>
        <w:pStyle w:val="Quote"/>
        <w:spacing w:after="0"/>
        <w:ind w:left="2160"/>
        <w:rPr>
          <w:u w:val="single"/>
        </w:rPr>
      </w:pPr>
      <w:r w:rsidRPr="00FE6D11">
        <w:rPr>
          <w:u w:val="single"/>
        </w:rPr>
        <w:t>• Ngaio Station</w:t>
      </w:r>
    </w:p>
    <w:p w14:paraId="0C4F34F4" w14:textId="66591F1A" w:rsidR="00105BC8" w:rsidRPr="00FE6D11" w:rsidRDefault="00105BC8" w:rsidP="00105BC8">
      <w:pPr>
        <w:pStyle w:val="Quote"/>
        <w:spacing w:after="0"/>
        <w:ind w:left="2160"/>
        <w:rPr>
          <w:u w:val="single"/>
        </w:rPr>
      </w:pPr>
      <w:r w:rsidRPr="00FE6D11">
        <w:rPr>
          <w:u w:val="single"/>
        </w:rPr>
        <w:t>• Awarua Street Station</w:t>
      </w:r>
    </w:p>
    <w:p w14:paraId="55AF3048" w14:textId="024183DA" w:rsidR="00105BC8" w:rsidRPr="00FE6D11" w:rsidRDefault="00105BC8" w:rsidP="00105BC8">
      <w:pPr>
        <w:pStyle w:val="Quote"/>
        <w:spacing w:after="0"/>
        <w:ind w:left="2160"/>
        <w:rPr>
          <w:u w:val="single"/>
        </w:rPr>
      </w:pPr>
      <w:r w:rsidRPr="00FE6D11">
        <w:rPr>
          <w:u w:val="single"/>
        </w:rPr>
        <w:t>• Simla Crescent Station</w:t>
      </w:r>
    </w:p>
    <w:p w14:paraId="3CDC2A79" w14:textId="3347A752" w:rsidR="00105BC8" w:rsidRPr="00FE6D11" w:rsidRDefault="00105BC8" w:rsidP="00105BC8">
      <w:pPr>
        <w:pStyle w:val="Quote"/>
        <w:spacing w:after="0"/>
        <w:ind w:left="2160"/>
        <w:rPr>
          <w:u w:val="single"/>
        </w:rPr>
      </w:pPr>
      <w:r w:rsidRPr="00FE6D11">
        <w:rPr>
          <w:u w:val="single"/>
        </w:rPr>
        <w:t>• Box Hill Station</w:t>
      </w:r>
    </w:p>
    <w:p w14:paraId="65564882" w14:textId="3421C675" w:rsidR="00105BC8" w:rsidRPr="00FE6D11" w:rsidRDefault="00105BC8" w:rsidP="00105BC8">
      <w:pPr>
        <w:pStyle w:val="Quote"/>
        <w:spacing w:after="0"/>
        <w:ind w:left="2160"/>
        <w:rPr>
          <w:u w:val="single"/>
        </w:rPr>
      </w:pPr>
      <w:r w:rsidRPr="00FE6D11">
        <w:rPr>
          <w:u w:val="single"/>
        </w:rPr>
        <w:t>• Khandallah Station</w:t>
      </w:r>
    </w:p>
    <w:p w14:paraId="3A289A4A" w14:textId="3A86837C" w:rsidR="00105BC8" w:rsidRPr="00FE6D11" w:rsidRDefault="00105BC8" w:rsidP="00105BC8">
      <w:pPr>
        <w:pStyle w:val="Quote"/>
        <w:spacing w:after="0"/>
        <w:ind w:left="2160"/>
        <w:rPr>
          <w:u w:val="single"/>
        </w:rPr>
      </w:pPr>
      <w:r w:rsidRPr="00FE6D11">
        <w:rPr>
          <w:u w:val="single"/>
        </w:rPr>
        <w:t>• Raroa Station</w:t>
      </w:r>
    </w:p>
    <w:p w14:paraId="2B45372F" w14:textId="54DB442D" w:rsidR="00105BC8" w:rsidRPr="00FE6D11" w:rsidRDefault="00105BC8" w:rsidP="00105BC8">
      <w:pPr>
        <w:pStyle w:val="Quote"/>
        <w:ind w:left="2160"/>
        <w:rPr>
          <w:u w:val="single"/>
        </w:rPr>
      </w:pPr>
      <w:r w:rsidRPr="00FE6D11">
        <w:rPr>
          <w:u w:val="single"/>
        </w:rPr>
        <w:t>• Johnsonville Station</w:t>
      </w:r>
    </w:p>
    <w:p w14:paraId="149A2F5C" w14:textId="0BE170D4" w:rsidR="00105BC8" w:rsidRPr="00DC57E7" w:rsidRDefault="00105BC8" w:rsidP="00105BC8">
      <w:pPr>
        <w:pStyle w:val="Quote"/>
        <w:spacing w:after="120"/>
        <w:ind w:left="2160"/>
        <w:rPr>
          <w:u w:val="single"/>
        </w:rPr>
      </w:pPr>
      <w:r w:rsidRPr="00FE6D11">
        <w:rPr>
          <w:u w:val="single"/>
        </w:rPr>
        <w:t>Th</w:t>
      </w:r>
      <w:r w:rsidR="007362CA" w:rsidRPr="00FE6D11">
        <w:rPr>
          <w:u w:val="single"/>
        </w:rPr>
        <w:t>e</w:t>
      </w:r>
      <w:r w:rsidRPr="00FE6D11">
        <w:rPr>
          <w:u w:val="single"/>
        </w:rPr>
        <w:t xml:space="preserve"> following station on the Hutt/Melling Line </w:t>
      </w:r>
      <w:r w:rsidR="00240468" w:rsidRPr="00FE6D11">
        <w:rPr>
          <w:u w:val="single"/>
        </w:rPr>
        <w:t>is a</w:t>
      </w:r>
      <w:r w:rsidRPr="00FE6D11">
        <w:rPr>
          <w:u w:val="single"/>
        </w:rPr>
        <w:t xml:space="preserve"> rapid transit stop:</w:t>
      </w:r>
    </w:p>
    <w:p w14:paraId="7AD359F8" w14:textId="0BBEAAF2" w:rsidR="00105BC8" w:rsidRPr="00105BC8" w:rsidRDefault="00105BC8" w:rsidP="00105BC8">
      <w:pPr>
        <w:pStyle w:val="Quote"/>
        <w:ind w:left="2160"/>
        <w:rPr>
          <w:u w:val="single"/>
        </w:rPr>
      </w:pPr>
      <w:r w:rsidRPr="00DC57E7">
        <w:rPr>
          <w:u w:val="single"/>
        </w:rPr>
        <w:t>• Ngauranga Station</w:t>
      </w:r>
      <w:r w:rsidR="00EE4616" w:rsidRPr="00DC57E7">
        <w:rPr>
          <w:u w:val="single"/>
        </w:rPr>
        <w:t>.</w:t>
      </w:r>
      <w:r w:rsidRPr="00DC57E7">
        <w:t>”</w:t>
      </w:r>
    </w:p>
    <w:p w14:paraId="7344E620" w14:textId="42F74BE8" w:rsidR="00D63C44" w:rsidRDefault="00187B5F" w:rsidP="00BC7C0A">
      <w:pPr>
        <w:pStyle w:val="Heading3"/>
      </w:pPr>
      <w:r w:rsidRPr="00187B5F">
        <w:t xml:space="preserve">The Johnsonville Rail </w:t>
      </w:r>
      <w:r w:rsidR="0010740B">
        <w:t>Li</w:t>
      </w:r>
      <w:r w:rsidR="0010740B" w:rsidRPr="00187B5F">
        <w:t>ne</w:t>
      </w:r>
      <w:r w:rsidRPr="00187B5F">
        <w:t xml:space="preserve"> and the stations along it are </w:t>
      </w:r>
      <w:r w:rsidR="00DE5AB8">
        <w:t>identified</w:t>
      </w:r>
      <w:r w:rsidR="00DE5AB8" w:rsidRPr="00187B5F">
        <w:t xml:space="preserve"> </w:t>
      </w:r>
      <w:r w:rsidRPr="00187B5F">
        <w:t>a</w:t>
      </w:r>
      <w:r w:rsidR="0010740B">
        <w:t xml:space="preserve">s </w:t>
      </w:r>
      <w:r w:rsidRPr="00187B5F">
        <w:t xml:space="preserve">rapid transit in the </w:t>
      </w:r>
      <w:r w:rsidR="00DE5AB8">
        <w:t xml:space="preserve">PDP; and </w:t>
      </w:r>
    </w:p>
    <w:p w14:paraId="060D3931" w14:textId="662B230F" w:rsidR="00DE5AB8" w:rsidRPr="00187B5F" w:rsidRDefault="00656A8C" w:rsidP="00BC7C0A">
      <w:pPr>
        <w:pStyle w:val="Heading3"/>
      </w:pPr>
      <w:r>
        <w:t>Building</w:t>
      </w:r>
      <w:r w:rsidR="00DE5AB8">
        <w:t xml:space="preserve"> height</w:t>
      </w:r>
      <w:r>
        <w:t>s of at least six storeys are enabled within a walkable catchment of the Johnsonville Rail line in accordance with the requirements of Policy 3(c) of the NPS</w:t>
      </w:r>
      <w:r w:rsidR="00E15786">
        <w:t>-</w:t>
      </w:r>
      <w:r>
        <w:t>UD.</w:t>
      </w:r>
      <w:r w:rsidR="00DE5AB8">
        <w:t xml:space="preserve"> </w:t>
      </w:r>
    </w:p>
    <w:p w14:paraId="29BD9BCB" w14:textId="2FEE11C3" w:rsidR="006F1393" w:rsidRDefault="00A7450E" w:rsidP="006F1393">
      <w:pPr>
        <w:pStyle w:val="Heading1"/>
      </w:pPr>
      <w:r>
        <w:t xml:space="preserve">special </w:t>
      </w:r>
      <w:r w:rsidR="004170F6" w:rsidRPr="004170F6">
        <w:t xml:space="preserve">Character </w:t>
      </w:r>
      <w:r w:rsidR="00C30A02">
        <w:t>qualifying matter</w:t>
      </w:r>
      <w:r>
        <w:t xml:space="preserve"> </w:t>
      </w:r>
    </w:p>
    <w:p w14:paraId="6BE88B7D" w14:textId="4420BEB7" w:rsidR="00735A5B" w:rsidRPr="00735A5B" w:rsidRDefault="00735A5B" w:rsidP="00105BC8">
      <w:pPr>
        <w:pStyle w:val="Heading2"/>
        <w:keepNext/>
        <w:numPr>
          <w:ilvl w:val="0"/>
          <w:numId w:val="0"/>
        </w:numPr>
        <w:ind w:left="720"/>
        <w:rPr>
          <w:b/>
          <w:bCs/>
        </w:rPr>
      </w:pPr>
      <w:r w:rsidRPr="00735A5B">
        <w:rPr>
          <w:b/>
          <w:bCs/>
        </w:rPr>
        <w:t>Issue</w:t>
      </w:r>
    </w:p>
    <w:p w14:paraId="05123B5C" w14:textId="2F897B1C" w:rsidR="00495389" w:rsidRDefault="00495389" w:rsidP="00E15786">
      <w:pPr>
        <w:pStyle w:val="Heading2"/>
      </w:pPr>
      <w:r>
        <w:t xml:space="preserve">The PDP proposes to modify the density across parts of the Medium Density Residential Zone that are identified as </w:t>
      </w:r>
      <w:r w:rsidR="008F6C5A">
        <w:t>Character Precincts</w:t>
      </w:r>
      <w:r>
        <w:t xml:space="preserve">. Special character is identified as an “other qualifying matter” under section 77I(j) of the RMA. </w:t>
      </w:r>
    </w:p>
    <w:p w14:paraId="35BB1F43" w14:textId="34ABC24B" w:rsidR="00495389" w:rsidRDefault="00707E5B" w:rsidP="0095064C">
      <w:pPr>
        <w:pStyle w:val="Heading2"/>
      </w:pPr>
      <w:r w:rsidRPr="0050558B">
        <w:t xml:space="preserve">GZ </w:t>
      </w:r>
      <w:r w:rsidR="00411B6E" w:rsidRPr="0050558B">
        <w:t xml:space="preserve">Inc </w:t>
      </w:r>
      <w:r w:rsidRPr="0050558B">
        <w:t xml:space="preserve">broadly supports the identification of </w:t>
      </w:r>
      <w:r w:rsidR="00411B6E" w:rsidRPr="0050558B">
        <w:t>areas with</w:t>
      </w:r>
      <w:r w:rsidR="00B132C4" w:rsidRPr="0050558B">
        <w:t xml:space="preserve"> high</w:t>
      </w:r>
      <w:r w:rsidR="00E15898" w:rsidRPr="0050558B">
        <w:t xml:space="preserve"> </w:t>
      </w:r>
      <w:r w:rsidR="00411B6E" w:rsidRPr="0050558B">
        <w:t>concentrations of character (</w:t>
      </w:r>
      <w:proofErr w:type="gramStart"/>
      <w:r w:rsidR="00411B6E" w:rsidRPr="0050558B">
        <w:t>i.e.</w:t>
      </w:r>
      <w:proofErr w:type="gramEnd"/>
      <w:r w:rsidR="00411B6E" w:rsidRPr="0050558B">
        <w:t xml:space="preserve"> areas with a predominance of primary classified buildings)</w:t>
      </w:r>
      <w:r w:rsidR="00E15898" w:rsidRPr="0050558B">
        <w:t xml:space="preserve"> as </w:t>
      </w:r>
      <w:r w:rsidR="00495389">
        <w:t>representing an “other qualifying matter”</w:t>
      </w:r>
      <w:r w:rsidR="00412758" w:rsidRPr="0050558B">
        <w:t xml:space="preserve">.  </w:t>
      </w:r>
    </w:p>
    <w:p w14:paraId="612658D1" w14:textId="72FCA9E8" w:rsidR="00707E5B" w:rsidRPr="0050558B" w:rsidRDefault="008F6C5A" w:rsidP="008F6C5A">
      <w:pPr>
        <w:pStyle w:val="Heading2"/>
      </w:pPr>
      <w:r>
        <w:t>The scheme of the RMA amendments and the NPS</w:t>
      </w:r>
      <w:r w:rsidR="003860B3">
        <w:t>-</w:t>
      </w:r>
      <w:r>
        <w:t>UD make clear that there is a high bar for a matter to be significant to constitute a qualifying matter. GZ</w:t>
      </w:r>
      <w:r w:rsidR="005A6F55">
        <w:t xml:space="preserve"> Inc </w:t>
      </w:r>
      <w:r>
        <w:t xml:space="preserve">therefore supports the identification of only areas </w:t>
      </w:r>
      <w:r w:rsidR="00412758" w:rsidRPr="0050558B">
        <w:t>with high concentrations of character (</w:t>
      </w:r>
      <w:proofErr w:type="gramStart"/>
      <w:r w:rsidR="00412758" w:rsidRPr="0050558B">
        <w:t>i.e.</w:t>
      </w:r>
      <w:proofErr w:type="gramEnd"/>
      <w:r w:rsidR="00412758" w:rsidRPr="0050558B">
        <w:t xml:space="preserve"> areas with a predominance of primary classified buildings)</w:t>
      </w:r>
      <w:r>
        <w:t xml:space="preserve"> as falling within the exemption. T</w:t>
      </w:r>
      <w:r w:rsidR="00412758" w:rsidRPr="0050558B">
        <w:t>hose with medium concentrations of character (</w:t>
      </w:r>
      <w:proofErr w:type="gramStart"/>
      <w:r w:rsidR="00412758" w:rsidRPr="0050558B">
        <w:t>i.e.</w:t>
      </w:r>
      <w:proofErr w:type="gramEnd"/>
      <w:r w:rsidR="00412758" w:rsidRPr="0050558B">
        <w:t xml:space="preserve"> areas with a predominance of contributory classified buildings)</w:t>
      </w:r>
      <w:r>
        <w:t xml:space="preserve"> should not be included. </w:t>
      </w:r>
    </w:p>
    <w:p w14:paraId="48F3A6FD" w14:textId="4CB857F4" w:rsidR="00E04AEB" w:rsidRPr="00E04AEB" w:rsidRDefault="004B48CC" w:rsidP="00E04AEB">
      <w:pPr>
        <w:pStyle w:val="Heading2"/>
        <w:keepNext/>
        <w:numPr>
          <w:ilvl w:val="0"/>
          <w:numId w:val="0"/>
        </w:numPr>
        <w:ind w:left="720"/>
        <w:rPr>
          <w:b/>
          <w:bCs/>
        </w:rPr>
      </w:pPr>
      <w:r>
        <w:rPr>
          <w:b/>
          <w:bCs/>
        </w:rPr>
        <w:t>Qualifying matters</w:t>
      </w:r>
    </w:p>
    <w:p w14:paraId="12BA1CB1" w14:textId="4D4AC851" w:rsidR="0089082B" w:rsidRDefault="0089082B" w:rsidP="0089082B">
      <w:pPr>
        <w:pStyle w:val="Heading2"/>
      </w:pPr>
      <w:r>
        <w:t xml:space="preserve">Section 77G of the RMA requires Tier 1 local authorities to incorporate the MDRS into every relevant residential zone. </w:t>
      </w:r>
    </w:p>
    <w:p w14:paraId="711D9C71" w14:textId="08277A15" w:rsidR="0089082B" w:rsidRDefault="0089082B" w:rsidP="0089082B">
      <w:pPr>
        <w:pStyle w:val="Heading2"/>
      </w:pPr>
      <w:r>
        <w:t xml:space="preserve">Under section 77I of the RMA, a local authority may make the </w:t>
      </w:r>
      <w:r w:rsidR="00A66423" w:rsidRPr="00E15786">
        <w:t xml:space="preserve">MDRS and the relevant building height or density requirements less enabling of </w:t>
      </w:r>
      <w:r w:rsidR="00A66423" w:rsidRPr="00E15786">
        <w:lastRenderedPageBreak/>
        <w:t xml:space="preserve">development in relation to an area within a relevant residential zone only to the extent necessary to accommodate </w:t>
      </w:r>
      <w:r w:rsidR="00A66423">
        <w:t>one</w:t>
      </w:r>
      <w:r w:rsidR="00A66423" w:rsidRPr="00E15786">
        <w:t xml:space="preserve"> or more of </w:t>
      </w:r>
      <w:r w:rsidR="00A66423">
        <w:t>specified</w:t>
      </w:r>
      <w:r w:rsidR="00A66423" w:rsidRPr="00E15786">
        <w:t xml:space="preserve"> qualifying matters</w:t>
      </w:r>
      <w:r w:rsidR="00A66423">
        <w:t>.</w:t>
      </w:r>
      <w:r w:rsidR="00631C9D">
        <w:t xml:space="preserve"> Section 77O </w:t>
      </w:r>
      <w:r w:rsidR="0008494B">
        <w:t xml:space="preserve">of the </w:t>
      </w:r>
      <w:r w:rsidR="00167695">
        <w:t>R</w:t>
      </w:r>
      <w:r w:rsidR="0008494B">
        <w:t xml:space="preserve">MA </w:t>
      </w:r>
      <w:r w:rsidR="00631C9D">
        <w:t xml:space="preserve">imposes an equivalent requirement with respect to qualifying matters in </w:t>
      </w:r>
      <w:r w:rsidR="00661F7B">
        <w:t xml:space="preserve">urban </w:t>
      </w:r>
      <w:r w:rsidR="00631C9D">
        <w:t xml:space="preserve">non-residential </w:t>
      </w:r>
      <w:r w:rsidR="00661F7B">
        <w:t>areas</w:t>
      </w:r>
      <w:r w:rsidR="00631C9D">
        <w:t xml:space="preserve">. </w:t>
      </w:r>
    </w:p>
    <w:p w14:paraId="55F8CC53" w14:textId="721C487E" w:rsidR="00A66423" w:rsidRDefault="00A66423" w:rsidP="004170F6">
      <w:pPr>
        <w:pStyle w:val="Heading2"/>
      </w:pPr>
      <w:r>
        <w:t>“</w:t>
      </w:r>
      <w:r w:rsidR="002D30EF" w:rsidRPr="00EC4B22">
        <w:t>Special character</w:t>
      </w:r>
      <w:r>
        <w:t>”</w:t>
      </w:r>
      <w:r w:rsidR="002D30EF" w:rsidRPr="00EC4B22">
        <w:t xml:space="preserve"> is not specified as a qualifying matter</w:t>
      </w:r>
      <w:r>
        <w:t>. However, section 77I(j)</w:t>
      </w:r>
      <w:r w:rsidR="00661F7B">
        <w:t xml:space="preserve">/77O(j) </w:t>
      </w:r>
      <w:r>
        <w:t xml:space="preserve">provides for </w:t>
      </w:r>
      <w:r w:rsidRPr="00A613DE">
        <w:rPr>
          <w:i/>
          <w:iCs/>
        </w:rPr>
        <w:t>“any other matter that makes higher density, as provided for by the MDRS or policy 3, inappropriate in an area”</w:t>
      </w:r>
      <w:r>
        <w:t xml:space="preserve"> provided that the requirements of section 77L</w:t>
      </w:r>
      <w:r w:rsidR="00661F7B">
        <w:t>/77R</w:t>
      </w:r>
      <w:r>
        <w:t xml:space="preserve"> are</w:t>
      </w:r>
      <w:r w:rsidRPr="00E15786">
        <w:t xml:space="preserve"> satisfied.</w:t>
      </w:r>
      <w:r>
        <w:t xml:space="preserve"> </w:t>
      </w:r>
    </w:p>
    <w:p w14:paraId="72D39B96" w14:textId="760DF5BA" w:rsidR="00025BA8" w:rsidRPr="00025BA8" w:rsidRDefault="00133524" w:rsidP="00025BA8">
      <w:pPr>
        <w:pStyle w:val="Heading2"/>
        <w:numPr>
          <w:ilvl w:val="0"/>
          <w:numId w:val="0"/>
        </w:numPr>
        <w:ind w:left="720"/>
      </w:pPr>
      <w:r>
        <w:rPr>
          <w:b/>
          <w:bCs/>
        </w:rPr>
        <w:t>WCC’s i</w:t>
      </w:r>
      <w:r w:rsidR="00025BA8">
        <w:rPr>
          <w:b/>
          <w:bCs/>
        </w:rPr>
        <w:t>dentification of Character Precincts</w:t>
      </w:r>
    </w:p>
    <w:p w14:paraId="156C1FAD" w14:textId="396081F0" w:rsidR="006D4672" w:rsidRPr="00FC2EB1" w:rsidRDefault="00B749EF" w:rsidP="00775F7A">
      <w:pPr>
        <w:pStyle w:val="Heading2"/>
      </w:pPr>
      <w:r>
        <w:t xml:space="preserve">The </w:t>
      </w:r>
      <w:r w:rsidRPr="00FC2EB1">
        <w:t xml:space="preserve">permitted development, height or density directed by the </w:t>
      </w:r>
      <w:r w:rsidR="00EC616B">
        <w:t>MDRS</w:t>
      </w:r>
      <w:r w:rsidRPr="00FC2EB1">
        <w:t xml:space="preserve"> </w:t>
      </w:r>
      <w:r w:rsidR="00775F7A">
        <w:t>has been modified in p</w:t>
      </w:r>
      <w:r>
        <w:t>arts of the</w:t>
      </w:r>
      <w:r w:rsidR="00376438" w:rsidRPr="00FC2EB1">
        <w:t xml:space="preserve"> Medium Density Residential Zone</w:t>
      </w:r>
      <w:r w:rsidR="00485FE3">
        <w:t xml:space="preserve"> </w:t>
      </w:r>
      <w:r w:rsidR="00775F7A">
        <w:t xml:space="preserve">to accommodate </w:t>
      </w:r>
      <w:r w:rsidR="00376438" w:rsidRPr="00FC2EB1">
        <w:rPr>
          <w:i/>
          <w:iCs/>
        </w:rPr>
        <w:t>“Character Precincts</w:t>
      </w:r>
      <w:r w:rsidR="00485FE3">
        <w:rPr>
          <w:i/>
          <w:iCs/>
        </w:rPr>
        <w:t>”</w:t>
      </w:r>
      <w:r w:rsidR="00376438" w:rsidRPr="00FC2EB1">
        <w:rPr>
          <w:i/>
          <w:iCs/>
        </w:rPr>
        <w:t xml:space="preserve"> </w:t>
      </w:r>
      <w:r w:rsidR="006D4672" w:rsidRPr="00FC2EB1">
        <w:t>in the following suburbs:</w:t>
      </w:r>
    </w:p>
    <w:p w14:paraId="7A77AF82" w14:textId="77777777" w:rsidR="006D4672" w:rsidRPr="00FC2EB1" w:rsidRDefault="006D4672" w:rsidP="006D4672">
      <w:pPr>
        <w:pStyle w:val="Heading3"/>
      </w:pPr>
      <w:proofErr w:type="gramStart"/>
      <w:r w:rsidRPr="00FC2EB1">
        <w:t>Berhampore;</w:t>
      </w:r>
      <w:proofErr w:type="gramEnd"/>
    </w:p>
    <w:p w14:paraId="5C951851" w14:textId="77777777" w:rsidR="006D4672" w:rsidRPr="00FC2EB1" w:rsidRDefault="006D4672" w:rsidP="006D4672">
      <w:pPr>
        <w:pStyle w:val="Heading3"/>
      </w:pPr>
      <w:proofErr w:type="gramStart"/>
      <w:r w:rsidRPr="00FC2EB1">
        <w:t>Newtown;</w:t>
      </w:r>
      <w:proofErr w:type="gramEnd"/>
    </w:p>
    <w:p w14:paraId="5ED2D2A3" w14:textId="77777777" w:rsidR="006D4672" w:rsidRPr="00FC2EB1" w:rsidRDefault="006D4672" w:rsidP="006D4672">
      <w:pPr>
        <w:pStyle w:val="Heading3"/>
      </w:pPr>
      <w:r w:rsidRPr="00FC2EB1">
        <w:t xml:space="preserve">Mt </w:t>
      </w:r>
      <w:proofErr w:type="gramStart"/>
      <w:r w:rsidRPr="00FC2EB1">
        <w:t>Cook;</w:t>
      </w:r>
      <w:proofErr w:type="gramEnd"/>
    </w:p>
    <w:p w14:paraId="58E790AE" w14:textId="77777777" w:rsidR="006D4672" w:rsidRPr="00FC2EB1" w:rsidRDefault="006D4672" w:rsidP="006D4672">
      <w:pPr>
        <w:pStyle w:val="Heading3"/>
      </w:pPr>
      <w:r w:rsidRPr="00FC2EB1">
        <w:t xml:space="preserve">Mt </w:t>
      </w:r>
      <w:proofErr w:type="gramStart"/>
      <w:r w:rsidRPr="00FC2EB1">
        <w:t>Victoria;</w:t>
      </w:r>
      <w:proofErr w:type="gramEnd"/>
    </w:p>
    <w:p w14:paraId="46A63868" w14:textId="77777777" w:rsidR="006D4672" w:rsidRPr="00FC2EB1" w:rsidRDefault="006D4672" w:rsidP="006D4672">
      <w:pPr>
        <w:pStyle w:val="Heading3"/>
      </w:pPr>
      <w:r w:rsidRPr="00FC2EB1">
        <w:t>Aro Valley; and</w:t>
      </w:r>
    </w:p>
    <w:p w14:paraId="5BC8BD6B" w14:textId="5034F6A8" w:rsidR="006D4672" w:rsidRDefault="006D4672" w:rsidP="006D4672">
      <w:pPr>
        <w:pStyle w:val="Heading3"/>
      </w:pPr>
      <w:r w:rsidRPr="00FC2EB1">
        <w:t>Thorndon.</w:t>
      </w:r>
    </w:p>
    <w:p w14:paraId="412114AB" w14:textId="2104E590" w:rsidR="00775F7A" w:rsidRDefault="00CF7022" w:rsidP="00CF7022">
      <w:pPr>
        <w:pStyle w:val="Heading2"/>
      </w:pPr>
      <w:r w:rsidRPr="00633706">
        <w:t>GZ Inc is broadly supportive of the identification of the above suburbs as Character Precincts</w:t>
      </w:r>
      <w:r w:rsidR="00485FE3">
        <w:t xml:space="preserve"> </w:t>
      </w:r>
      <w:r w:rsidR="00775F7A">
        <w:t>because</w:t>
      </w:r>
      <w:r w:rsidR="00701EE6">
        <w:t xml:space="preserve"> these areas </w:t>
      </w:r>
      <w:r w:rsidR="001F5B60">
        <w:t>have</w:t>
      </w:r>
      <w:r w:rsidR="00775F7A">
        <w:t xml:space="preserve"> </w:t>
      </w:r>
      <w:r w:rsidR="00B62C0C">
        <w:t>a high</w:t>
      </w:r>
      <w:r w:rsidR="00603A2F">
        <w:t xml:space="preserve"> and </w:t>
      </w:r>
      <w:r w:rsidR="001F5B60">
        <w:t>consistent</w:t>
      </w:r>
      <w:r w:rsidR="00701EE6" w:rsidRPr="00701EE6">
        <w:t xml:space="preserve"> </w:t>
      </w:r>
      <w:r w:rsidR="007F4D21">
        <w:t>special</w:t>
      </w:r>
      <w:r w:rsidR="001F5B60">
        <w:t xml:space="preserve"> </w:t>
      </w:r>
      <w:r w:rsidR="007F4D21">
        <w:t xml:space="preserve">character </w:t>
      </w:r>
      <w:r w:rsidR="00701EE6" w:rsidRPr="00701EE6">
        <w:t>quality</w:t>
      </w:r>
      <w:r w:rsidRPr="00633706">
        <w:t>.</w:t>
      </w:r>
    </w:p>
    <w:p w14:paraId="1BA7F07E" w14:textId="77777777" w:rsidR="00C668F2" w:rsidRPr="00431770" w:rsidRDefault="00C668F2" w:rsidP="00C668F2">
      <w:pPr>
        <w:pStyle w:val="SubTitleBold"/>
      </w:pPr>
      <w:r w:rsidRPr="00431770">
        <w:t>The threshold for reliance on “any other matter” is a high one</w:t>
      </w:r>
    </w:p>
    <w:p w14:paraId="0962B73C" w14:textId="23230426" w:rsidR="001F5B60" w:rsidRPr="001F5B60" w:rsidRDefault="001F5B60" w:rsidP="001F5B60">
      <w:pPr>
        <w:pStyle w:val="Heading2"/>
      </w:pPr>
      <w:r w:rsidRPr="001F5B60">
        <w:t xml:space="preserve">GZ Inc opposes the inclusion of areas with anything less than “high” special character within a Character Precinct. </w:t>
      </w:r>
    </w:p>
    <w:p w14:paraId="5AC7B303" w14:textId="6ED1C0BA" w:rsidR="00EA5F8B" w:rsidRPr="0022399F" w:rsidRDefault="00EA5F8B" w:rsidP="00EA5F8B">
      <w:pPr>
        <w:pStyle w:val="Heading2"/>
      </w:pPr>
      <w:r w:rsidRPr="0022399F">
        <w:t>In preparing the draft Spatial Plan 2021, WCC officers had proposed that areas with both high concentrations of character (</w:t>
      </w:r>
      <w:proofErr w:type="gramStart"/>
      <w:r w:rsidRPr="0022399F">
        <w:t>i.e.</w:t>
      </w:r>
      <w:proofErr w:type="gramEnd"/>
      <w:r w:rsidRPr="0022399F">
        <w:t xml:space="preserve"> areas with a predominance of primary classified buildings), and those with medium concentrations of character (i.e. areas with a predominance of contributory classified buildings), </w:t>
      </w:r>
      <w:r w:rsidR="00D41465" w:rsidRPr="0022399F">
        <w:t xml:space="preserve">were recognised as having special character and </w:t>
      </w:r>
      <w:r w:rsidR="00EA026D" w:rsidRPr="0022399F">
        <w:t xml:space="preserve">therefore </w:t>
      </w:r>
      <w:r w:rsidR="00F35C3C" w:rsidRPr="0022399F">
        <w:t xml:space="preserve">met </w:t>
      </w:r>
      <w:r w:rsidR="00CF7694" w:rsidRPr="0022399F">
        <w:t xml:space="preserve">the </w:t>
      </w:r>
      <w:r w:rsidR="001F5B60">
        <w:t>“</w:t>
      </w:r>
      <w:r w:rsidR="00CF7694" w:rsidRPr="0022399F">
        <w:t>qualifying matter</w:t>
      </w:r>
      <w:r w:rsidR="001F5B60">
        <w:t>”</w:t>
      </w:r>
      <w:r w:rsidR="00CF7694" w:rsidRPr="0022399F">
        <w:t xml:space="preserve"> </w:t>
      </w:r>
      <w:r w:rsidR="001F5B60">
        <w:t xml:space="preserve">standard. </w:t>
      </w:r>
    </w:p>
    <w:p w14:paraId="370EB674" w14:textId="5B8B72AD" w:rsidR="00DF3A24" w:rsidRDefault="00DF3A24" w:rsidP="00DF3A24">
      <w:pPr>
        <w:pStyle w:val="Heading2"/>
      </w:pPr>
      <w:r>
        <w:lastRenderedPageBreak/>
        <w:t>GZ</w:t>
      </w:r>
      <w:r w:rsidR="005A6F55">
        <w:t xml:space="preserve"> Inc</w:t>
      </w:r>
      <w:r w:rsidR="001F5B60">
        <w:t>’s</w:t>
      </w:r>
      <w:r w:rsidRPr="007348AF">
        <w:t xml:space="preserve"> </w:t>
      </w:r>
      <w:r w:rsidR="0022399F">
        <w:t>submi</w:t>
      </w:r>
      <w:r w:rsidR="001F5B60">
        <w:t>ssi</w:t>
      </w:r>
      <w:r w:rsidR="0022399F">
        <w:t xml:space="preserve">on </w:t>
      </w:r>
      <w:r w:rsidR="001F5B60">
        <w:t xml:space="preserve">on </w:t>
      </w:r>
      <w:r w:rsidR="0022399F">
        <w:t>the dra</w:t>
      </w:r>
      <w:r w:rsidR="002F2608">
        <w:t>f</w:t>
      </w:r>
      <w:r w:rsidR="0022399F">
        <w:t>t Spatial Plan</w:t>
      </w:r>
      <w:r w:rsidRPr="007348AF">
        <w:t xml:space="preserve"> </w:t>
      </w:r>
      <w:r w:rsidR="001F5B60">
        <w:t>stated that</w:t>
      </w:r>
      <w:r>
        <w:t xml:space="preserve"> it is appropriate that only </w:t>
      </w:r>
      <w:r w:rsidRPr="007348AF">
        <w:t xml:space="preserve">high-character areas </w:t>
      </w:r>
      <w:r>
        <w:t>are included within special character precincts</w:t>
      </w:r>
      <w:r w:rsidRPr="007348AF">
        <w:t>.</w:t>
      </w:r>
      <w:r>
        <w:rPr>
          <w:rStyle w:val="FootnoteReference"/>
        </w:rPr>
        <w:footnoteReference w:id="41"/>
      </w:r>
    </w:p>
    <w:p w14:paraId="60C2ED1F" w14:textId="77777777" w:rsidR="001F5B60" w:rsidRDefault="00CE3DD4" w:rsidP="000E36F0">
      <w:pPr>
        <w:pStyle w:val="Heading2"/>
      </w:pPr>
      <w:r w:rsidRPr="00276215">
        <w:t xml:space="preserve">At the meeting of the WCC Planning and Environment Committee on 23 June 2022, Wellington City councillors voted to restrict the </w:t>
      </w:r>
      <w:r w:rsidR="003350C9">
        <w:t xml:space="preserve">MDRS </w:t>
      </w:r>
      <w:r w:rsidRPr="00276215">
        <w:t>qualifying matter to only areas with high concentrations of character.</w:t>
      </w:r>
      <w:r w:rsidR="00BB63CB" w:rsidRPr="00276215">
        <w:rPr>
          <w:rStyle w:val="FootnoteReference"/>
        </w:rPr>
        <w:footnoteReference w:id="42"/>
      </w:r>
      <w:r w:rsidR="001F5B60">
        <w:t xml:space="preserve"> </w:t>
      </w:r>
    </w:p>
    <w:p w14:paraId="14C1E506" w14:textId="5B04E075" w:rsidR="00C668F2" w:rsidRPr="007B4395" w:rsidRDefault="001F5B60" w:rsidP="000E36F0">
      <w:pPr>
        <w:pStyle w:val="Heading2"/>
      </w:pPr>
      <w:r>
        <w:t xml:space="preserve">GZ </w:t>
      </w:r>
      <w:r w:rsidR="005A6F55">
        <w:t xml:space="preserve">Inc </w:t>
      </w:r>
      <w:r>
        <w:t>submits that the application of</w:t>
      </w:r>
      <w:r w:rsidR="00106BF6">
        <w:t xml:space="preserve"> the special character qualifying matter only to areas with </w:t>
      </w:r>
      <w:r w:rsidR="00106BF6" w:rsidRPr="008C3D79">
        <w:t>high concentrations of character</w:t>
      </w:r>
      <w:r w:rsidR="00106BF6">
        <w:t xml:space="preserve"> is the correct approach under </w:t>
      </w:r>
      <w:r w:rsidR="00106BF6" w:rsidRPr="007B4395">
        <w:t>the RMA.</w:t>
      </w:r>
    </w:p>
    <w:p w14:paraId="328DCE02" w14:textId="79ED31E6" w:rsidR="00145B70" w:rsidRDefault="0077384C" w:rsidP="00C668F2">
      <w:pPr>
        <w:pStyle w:val="Heading2"/>
      </w:pPr>
      <w:r>
        <w:t>Any decision to identify</w:t>
      </w:r>
      <w:r w:rsidR="00595762">
        <w:t xml:space="preserve"> an</w:t>
      </w:r>
      <w:r>
        <w:t xml:space="preserve"> </w:t>
      </w:r>
      <w:r w:rsidR="00595762">
        <w:t>“</w:t>
      </w:r>
      <w:r>
        <w:t>an</w:t>
      </w:r>
      <w:r w:rsidR="00595762">
        <w:t>y</w:t>
      </w:r>
      <w:r>
        <w:t xml:space="preserve"> other” qualifying matter must be supported by an evaluation report prepared under section 32 of the RMA. Any section </w:t>
      </w:r>
      <w:r w:rsidR="00145B70">
        <w:t>32 report must, among other things include:</w:t>
      </w:r>
    </w:p>
    <w:p w14:paraId="43FEDC5C" w14:textId="79149D29" w:rsidR="00145B70" w:rsidRPr="007B4395" w:rsidRDefault="00145B70" w:rsidP="00145B70">
      <w:pPr>
        <w:pStyle w:val="Heading3"/>
      </w:pPr>
      <w:r w:rsidRPr="007B4395">
        <w:t>An examination of the extent to which the objectives of the proposal being evaluated are the most appropriate way to achieve the purpose of this Act; and</w:t>
      </w:r>
    </w:p>
    <w:p w14:paraId="2358872C" w14:textId="3AB4F247" w:rsidR="00145B70" w:rsidRDefault="00145B70" w:rsidP="00145B70">
      <w:pPr>
        <w:pStyle w:val="Heading3"/>
      </w:pPr>
      <w:r w:rsidRPr="007B4395">
        <w:t xml:space="preserve">An examination of whether the provisions in the proposal </w:t>
      </w:r>
      <w:proofErr w:type="gramStart"/>
      <w:r w:rsidRPr="007B4395">
        <w:t>are the most appropriate way</w:t>
      </w:r>
      <w:proofErr w:type="gramEnd"/>
      <w:r w:rsidRPr="007B4395">
        <w:t xml:space="preserve"> to achieve the objectives.</w:t>
      </w:r>
    </w:p>
    <w:p w14:paraId="42B268E1" w14:textId="4083ADDB" w:rsidR="00FA4A53" w:rsidRDefault="005A6092" w:rsidP="001D1C97">
      <w:pPr>
        <w:pStyle w:val="Heading2"/>
      </w:pPr>
      <w:r>
        <w:t>Sections 77J and 77K of the RMA</w:t>
      </w:r>
      <w:r w:rsidR="00661F7B" w:rsidRPr="00661F7B">
        <w:rPr>
          <w:rStyle w:val="FootnoteReference"/>
          <w:sz w:val="22"/>
        </w:rPr>
        <w:footnoteReference w:id="43"/>
      </w:r>
      <w:r>
        <w:t xml:space="preserve"> specify additional requirements for the section 32 analysis that must be undertaken with respect to qualifying matters. Regardless of whether the process set out in section 77J or section 77K</w:t>
      </w:r>
      <w:r w:rsidR="00636827">
        <w:t xml:space="preserve"> (for existing qualifying matters)</w:t>
      </w:r>
      <w:r>
        <w:t xml:space="preserve"> is followed, </w:t>
      </w:r>
      <w:r w:rsidR="00FA4A53" w:rsidRPr="007B4395">
        <w:t>WCC must also justify the application of the special character qualifying matter with reference to the additional requirement</w:t>
      </w:r>
      <w:r w:rsidR="001D1C97">
        <w:t>s</w:t>
      </w:r>
      <w:r w:rsidR="00FA4A53" w:rsidRPr="007B4395">
        <w:t xml:space="preserve"> specified at section </w:t>
      </w:r>
      <w:r w:rsidR="00145371">
        <w:t xml:space="preserve">77K and section </w:t>
      </w:r>
      <w:r w:rsidR="00FA4A53" w:rsidRPr="007B4395">
        <w:t>77L of the RMA.</w:t>
      </w:r>
      <w:r w:rsidR="001D1C97">
        <w:t xml:space="preserve"> This includes:</w:t>
      </w:r>
    </w:p>
    <w:p w14:paraId="06BA754C" w14:textId="02C175AD" w:rsidR="001D1C97" w:rsidRDefault="001D1C97" w:rsidP="001D1C97">
      <w:pPr>
        <w:pStyle w:val="Heading3"/>
      </w:pPr>
      <w:r>
        <w:t>Identification of the specific characteristic that makes the level of development provided by the MDRS (as specified in Schedule 3A or as provided for by policy 3) inappropriate in the area; and</w:t>
      </w:r>
    </w:p>
    <w:p w14:paraId="40D6631D" w14:textId="5E5EFFE1" w:rsidR="001D1C97" w:rsidRDefault="001D1C97" w:rsidP="001D1C97">
      <w:pPr>
        <w:pStyle w:val="Heading3"/>
      </w:pPr>
      <w:r>
        <w:t xml:space="preserve">Justification of why that characteristic makes that level of development inappropriate </w:t>
      </w:r>
      <w:proofErr w:type="gramStart"/>
      <w:r>
        <w:t>in light of</w:t>
      </w:r>
      <w:proofErr w:type="gramEnd"/>
      <w:r>
        <w:t xml:space="preserve"> the national significance of urban development and the objectives of the NPS-UD; and</w:t>
      </w:r>
    </w:p>
    <w:p w14:paraId="46D4226F" w14:textId="235E8374" w:rsidR="001D1C97" w:rsidRPr="007B4395" w:rsidRDefault="00636827" w:rsidP="00636827">
      <w:pPr>
        <w:pStyle w:val="Heading3"/>
      </w:pPr>
      <w:r>
        <w:lastRenderedPageBreak/>
        <w:t xml:space="preserve">Identification </w:t>
      </w:r>
      <w:r w:rsidR="00145371">
        <w:t xml:space="preserve">of the impact of the imposition of the qualifying matter and the loss of development potential. </w:t>
      </w:r>
    </w:p>
    <w:p w14:paraId="4E2702D0" w14:textId="0C8FCACA" w:rsidR="00774DDA" w:rsidRDefault="00FA4A53" w:rsidP="00774DDA">
      <w:pPr>
        <w:pStyle w:val="Heading2"/>
      </w:pPr>
      <w:r w:rsidRPr="00534343">
        <w:t>Consequently</w:t>
      </w:r>
      <w:r w:rsidR="005A6092">
        <w:t>, the section 32 analysis required to justify an “</w:t>
      </w:r>
      <w:proofErr w:type="gramStart"/>
      <w:r w:rsidR="00B5058E">
        <w:t xml:space="preserve">any </w:t>
      </w:r>
      <w:r w:rsidR="00AE6590">
        <w:t xml:space="preserve"> </w:t>
      </w:r>
      <w:r w:rsidR="005A6092">
        <w:t>other</w:t>
      </w:r>
      <w:proofErr w:type="gramEnd"/>
      <w:r w:rsidR="005A6092">
        <w:t xml:space="preserve">” qualifying matter </w:t>
      </w:r>
      <w:r w:rsidRPr="007073F6">
        <w:t xml:space="preserve">is </w:t>
      </w:r>
      <w:r w:rsidR="003061B3" w:rsidRPr="007073F6">
        <w:t xml:space="preserve">more stringent than a </w:t>
      </w:r>
      <w:r w:rsidR="005A6092">
        <w:t>conventional</w:t>
      </w:r>
      <w:r w:rsidR="003061B3" w:rsidRPr="007073F6">
        <w:t xml:space="preserve"> section</w:t>
      </w:r>
      <w:r w:rsidR="00D619E8" w:rsidRPr="007073F6">
        <w:t> </w:t>
      </w:r>
      <w:r w:rsidR="003061B3" w:rsidRPr="007073F6">
        <w:t>32 analysis</w:t>
      </w:r>
      <w:r w:rsidR="005A6092">
        <w:t xml:space="preserve"> insofar as it must clearly demonstrate why departure from the MDRS is required</w:t>
      </w:r>
      <w:r w:rsidRPr="007073F6">
        <w:t>.</w:t>
      </w:r>
      <w:r w:rsidR="00670F41">
        <w:t xml:space="preserve"> </w:t>
      </w:r>
      <w:r w:rsidR="00774DDA">
        <w:t>The wording of the provisions and their policy context indicates that there is a high bar to justify departure from the MDRS. The direction of the RMA is clear that “any other matter” is to be applied narrowly, and only where there has been an e</w:t>
      </w:r>
      <w:r w:rsidR="00774DDA" w:rsidRPr="00046F4C">
        <w:t>valuat</w:t>
      </w:r>
      <w:r w:rsidR="00774DDA">
        <w:t xml:space="preserve">ion of </w:t>
      </w:r>
      <w:r w:rsidR="00774DDA" w:rsidRPr="00046F4C">
        <w:t>an appropriate range of options to achieve the greatest heights and densities permitted by the MDRS</w:t>
      </w:r>
      <w:r w:rsidR="00774DDA">
        <w:t xml:space="preserve">.  </w:t>
      </w:r>
    </w:p>
    <w:p w14:paraId="2BE7C18C" w14:textId="08ACDFA5" w:rsidR="00774DDA" w:rsidRDefault="00774DDA" w:rsidP="00774DDA">
      <w:pPr>
        <w:pStyle w:val="Heading2"/>
      </w:pPr>
      <w:r>
        <w:t>In this way, the RMA does not provide for a widespread use of the qualifying matter, but rather only after a considered and evaluative analysis</w:t>
      </w:r>
      <w:r w:rsidR="00145371">
        <w:t xml:space="preserve"> of the extent to which it impacts on the delivery of development capacity</w:t>
      </w:r>
      <w:r>
        <w:t>.</w:t>
      </w:r>
      <w:r w:rsidR="00550AD5">
        <w:t xml:space="preserve"> </w:t>
      </w:r>
    </w:p>
    <w:p w14:paraId="72FF89CE" w14:textId="620F237D" w:rsidR="001B14B9" w:rsidRDefault="00670F41" w:rsidP="00C25D1D">
      <w:pPr>
        <w:pStyle w:val="Heading2"/>
      </w:pPr>
      <w:r>
        <w:t>The requirements must be read alongside the requirements of the NPS</w:t>
      </w:r>
      <w:r w:rsidR="003860B3">
        <w:t>-</w:t>
      </w:r>
      <w:r>
        <w:t xml:space="preserve">UD. </w:t>
      </w:r>
      <w:r w:rsidR="00E01A3C" w:rsidRPr="00E01A3C">
        <w:t xml:space="preserve">The objectives </w:t>
      </w:r>
      <w:r w:rsidR="00550AD5">
        <w:t xml:space="preserve">of that document </w:t>
      </w:r>
      <w:r w:rsidR="00E01A3C">
        <w:t xml:space="preserve">include that </w:t>
      </w:r>
      <w:r w:rsidR="00E01A3C" w:rsidRPr="00E01A3C">
        <w:t>district plans enable more people to live in</w:t>
      </w:r>
      <w:r w:rsidR="00E01A3C">
        <w:t xml:space="preserve"> areas of an urban environment in which</w:t>
      </w:r>
      <w:r w:rsidR="001B14B9">
        <w:t>:</w:t>
      </w:r>
      <w:r w:rsidR="001B14B9">
        <w:rPr>
          <w:rStyle w:val="FootnoteReference"/>
        </w:rPr>
        <w:footnoteReference w:id="44"/>
      </w:r>
    </w:p>
    <w:p w14:paraId="09427CA8" w14:textId="008AB2CA" w:rsidR="001B14B9" w:rsidRDefault="003A6AA0" w:rsidP="001B14B9">
      <w:pPr>
        <w:pStyle w:val="Heading3"/>
      </w:pPr>
      <w:r>
        <w:t>T</w:t>
      </w:r>
      <w:r w:rsidR="00E01A3C">
        <w:t>he area is in or near a centre zone or other area with many employment opportunities</w:t>
      </w:r>
      <w:r w:rsidR="000853A8">
        <w:t>;</w:t>
      </w:r>
      <w:r w:rsidR="00E01A3C">
        <w:t xml:space="preserve"> </w:t>
      </w:r>
      <w:r w:rsidR="00FB228E">
        <w:t>or</w:t>
      </w:r>
    </w:p>
    <w:p w14:paraId="76FBBC39" w14:textId="06C33841" w:rsidR="001B14B9" w:rsidRDefault="003A6AA0" w:rsidP="001B14B9">
      <w:pPr>
        <w:pStyle w:val="Heading3"/>
      </w:pPr>
      <w:r>
        <w:t>T</w:t>
      </w:r>
      <w:r w:rsidR="00E01A3C">
        <w:t>he area is well-serviced by existing or planned public transport</w:t>
      </w:r>
      <w:r w:rsidR="000853A8">
        <w:t>;</w:t>
      </w:r>
      <w:r w:rsidR="00FB228E">
        <w:t xml:space="preserve"> or</w:t>
      </w:r>
    </w:p>
    <w:p w14:paraId="7D7204EB" w14:textId="63129602" w:rsidR="00E01A3C" w:rsidRDefault="003A6AA0" w:rsidP="001B14B9">
      <w:pPr>
        <w:pStyle w:val="Heading3"/>
      </w:pPr>
      <w:r>
        <w:t>T</w:t>
      </w:r>
      <w:r w:rsidR="00E01A3C">
        <w:t>here is high demand for housing or for business land in the area, relative to other areas within the urban environment.</w:t>
      </w:r>
    </w:p>
    <w:p w14:paraId="7C586180" w14:textId="1D838667" w:rsidR="00F13866" w:rsidRDefault="00670F41" w:rsidP="00A55F87">
      <w:pPr>
        <w:pStyle w:val="Heading2"/>
      </w:pPr>
      <w:r>
        <w:t>T</w:t>
      </w:r>
      <w:r w:rsidR="00F13866">
        <w:t xml:space="preserve">he </w:t>
      </w:r>
      <w:r>
        <w:t xml:space="preserve">proposed </w:t>
      </w:r>
      <w:r w:rsidR="00F13866">
        <w:t xml:space="preserve">Character Precincts </w:t>
      </w:r>
      <w:r w:rsidR="007F0530">
        <w:t>are located</w:t>
      </w:r>
      <w:r w:rsidR="00F13866">
        <w:t xml:space="preserve"> within the inner-city suburbs</w:t>
      </w:r>
      <w:r w:rsidR="00046DF5">
        <w:t xml:space="preserve"> of Wellington</w:t>
      </w:r>
      <w:r>
        <w:t xml:space="preserve">, </w:t>
      </w:r>
      <w:r w:rsidR="00550AD5">
        <w:t>which typically hold these characteristics</w:t>
      </w:r>
      <w:r>
        <w:t xml:space="preserve">. </w:t>
      </w:r>
      <w:proofErr w:type="gramStart"/>
      <w:r>
        <w:t xml:space="preserve">In </w:t>
      </w:r>
      <w:r w:rsidR="00550AD5">
        <w:t>particular, in</w:t>
      </w:r>
      <w:proofErr w:type="gramEnd"/>
      <w:r w:rsidR="00550AD5">
        <w:t xml:space="preserve"> </w:t>
      </w:r>
      <w:r>
        <w:t>these areas</w:t>
      </w:r>
      <w:r w:rsidR="00F13866">
        <w:t xml:space="preserve"> there is great demand for </w:t>
      </w:r>
      <w:r w:rsidR="0053686F">
        <w:t xml:space="preserve">housing </w:t>
      </w:r>
      <w:r w:rsidR="00F13866">
        <w:t>in both the purchase and rental markets</w:t>
      </w:r>
      <w:r w:rsidR="00550AD5">
        <w:t>.</w:t>
      </w:r>
      <w:r>
        <w:t xml:space="preserve"> </w:t>
      </w:r>
    </w:p>
    <w:p w14:paraId="59C7D1CB" w14:textId="79D15623" w:rsidR="00550AD5" w:rsidRDefault="00550AD5" w:rsidP="00A55F87">
      <w:pPr>
        <w:pStyle w:val="Heading2"/>
      </w:pPr>
      <w:r>
        <w:t>Accordingly, delivery of development capacity in these areas is a core purpose of the NPS</w:t>
      </w:r>
      <w:r w:rsidR="003860B3">
        <w:t>-</w:t>
      </w:r>
      <w:r>
        <w:t xml:space="preserve">UD. The application of “qualifying matters” to depart from that requirement should be used sparingly. </w:t>
      </w:r>
    </w:p>
    <w:p w14:paraId="1D814724" w14:textId="1D2DEAD4" w:rsidR="00145371" w:rsidRPr="00145371" w:rsidRDefault="00145371" w:rsidP="00145371">
      <w:pPr>
        <w:pStyle w:val="Heading2"/>
        <w:numPr>
          <w:ilvl w:val="0"/>
          <w:numId w:val="0"/>
        </w:numPr>
        <w:ind w:left="720"/>
        <w:rPr>
          <w:b/>
          <w:bCs/>
        </w:rPr>
      </w:pPr>
      <w:r w:rsidRPr="00145371">
        <w:rPr>
          <w:b/>
          <w:bCs/>
        </w:rPr>
        <w:t>Submission</w:t>
      </w:r>
      <w:r>
        <w:rPr>
          <w:b/>
          <w:bCs/>
        </w:rPr>
        <w:t xml:space="preserve"> – Character precincts apply only to areas of high character</w:t>
      </w:r>
    </w:p>
    <w:p w14:paraId="5F261B61" w14:textId="6EE273D9" w:rsidR="00FA3845" w:rsidRDefault="00145371" w:rsidP="00FA3845">
      <w:pPr>
        <w:pStyle w:val="Heading2"/>
      </w:pPr>
      <w:r>
        <w:t>T</w:t>
      </w:r>
      <w:r w:rsidR="00FA3845">
        <w:t xml:space="preserve">he </w:t>
      </w:r>
      <w:r>
        <w:t>imposition of Character Precincts is appropriate only in areas where there are</w:t>
      </w:r>
      <w:r w:rsidR="00FA3845">
        <w:t xml:space="preserve"> </w:t>
      </w:r>
      <w:r w:rsidR="00FA3845" w:rsidRPr="0050558B">
        <w:t>high concentrations of character (</w:t>
      </w:r>
      <w:proofErr w:type="gramStart"/>
      <w:r w:rsidR="00FA3845" w:rsidRPr="0050558B">
        <w:t>i.e.</w:t>
      </w:r>
      <w:proofErr w:type="gramEnd"/>
      <w:r w:rsidR="00FA3845" w:rsidRPr="0050558B">
        <w:t xml:space="preserve"> areas with a predominance of primary classified buildings)</w:t>
      </w:r>
      <w:r>
        <w:t xml:space="preserve">. The extension of Character Precincts to </w:t>
      </w:r>
      <w:r>
        <w:lastRenderedPageBreak/>
        <w:t>encompass areas</w:t>
      </w:r>
      <w:r w:rsidR="00FA3845" w:rsidRPr="0050558B">
        <w:t xml:space="preserve"> with medium concentrations of character (</w:t>
      </w:r>
      <w:proofErr w:type="gramStart"/>
      <w:r w:rsidR="00FA3845" w:rsidRPr="0050558B">
        <w:t>i.e.</w:t>
      </w:r>
      <w:proofErr w:type="gramEnd"/>
      <w:r w:rsidR="00FA3845" w:rsidRPr="0050558B">
        <w:t xml:space="preserve"> areas with a predominance of contributory classified buildings</w:t>
      </w:r>
      <w:r>
        <w:t xml:space="preserve">) </w:t>
      </w:r>
      <w:r w:rsidR="005A6F55">
        <w:t xml:space="preserve">cannot be justified in terms of sections 32, 77K and 77L of the RMA and </w:t>
      </w:r>
      <w:r>
        <w:t>would not achieve the purpose of the NPS</w:t>
      </w:r>
      <w:r w:rsidR="003860B3">
        <w:t>-</w:t>
      </w:r>
      <w:r>
        <w:t>UD.</w:t>
      </w:r>
    </w:p>
    <w:p w14:paraId="597BE3ED" w14:textId="3A59B61C" w:rsidR="00956174" w:rsidRPr="00956174" w:rsidRDefault="000272AC" w:rsidP="00AF1747">
      <w:pPr>
        <w:pStyle w:val="Heading2"/>
        <w:keepNext/>
        <w:numPr>
          <w:ilvl w:val="0"/>
          <w:numId w:val="0"/>
        </w:numPr>
        <w:ind w:left="720"/>
        <w:rPr>
          <w:b/>
          <w:bCs/>
        </w:rPr>
      </w:pPr>
      <w:r w:rsidRPr="00956174">
        <w:rPr>
          <w:b/>
          <w:bCs/>
        </w:rPr>
        <w:t xml:space="preserve">Assessment of the impact </w:t>
      </w:r>
      <w:r w:rsidR="00775F7A">
        <w:rPr>
          <w:b/>
          <w:bCs/>
        </w:rPr>
        <w:t>of</w:t>
      </w:r>
      <w:r w:rsidR="00775F7A" w:rsidRPr="00956174">
        <w:rPr>
          <w:b/>
          <w:bCs/>
        </w:rPr>
        <w:t xml:space="preserve"> </w:t>
      </w:r>
      <w:r w:rsidRPr="00956174">
        <w:rPr>
          <w:b/>
          <w:bCs/>
        </w:rPr>
        <w:t>limiting development capacity</w:t>
      </w:r>
    </w:p>
    <w:p w14:paraId="788F49CB" w14:textId="4A91CBBF" w:rsidR="00956174" w:rsidRPr="005A6F55" w:rsidRDefault="00956174" w:rsidP="00956174">
      <w:pPr>
        <w:pStyle w:val="Heading2"/>
      </w:pPr>
      <w:r w:rsidRPr="005A6F55">
        <w:t>Section</w:t>
      </w:r>
      <w:r w:rsidR="005A6F55" w:rsidRPr="005A6F55">
        <w:t xml:space="preserve">s </w:t>
      </w:r>
      <w:r w:rsidRPr="005A6F55">
        <w:t>77</w:t>
      </w:r>
      <w:r w:rsidR="005A6F55" w:rsidRPr="005A6F55">
        <w:t>K and 77L</w:t>
      </w:r>
      <w:r w:rsidRPr="005A6F55">
        <w:t xml:space="preserve"> of the RMA require</w:t>
      </w:r>
      <w:r w:rsidR="005A6F55" w:rsidRPr="005A6F55">
        <w:t>s</w:t>
      </w:r>
      <w:r w:rsidRPr="005A6F55">
        <w:t xml:space="preserve"> assessments to be undertaken to assess the impacts of limiting development capacity through qualifying matters.</w:t>
      </w:r>
    </w:p>
    <w:p w14:paraId="0ECFD431" w14:textId="6D894C3C" w:rsidR="000272AC" w:rsidRPr="005A6F55" w:rsidRDefault="00761903" w:rsidP="00956174">
      <w:pPr>
        <w:pStyle w:val="Heading2"/>
      </w:pPr>
      <w:r w:rsidRPr="005A6F55">
        <w:t>The s</w:t>
      </w:r>
      <w:r w:rsidR="003A08E2" w:rsidRPr="005A6F55">
        <w:t>ection</w:t>
      </w:r>
      <w:r w:rsidRPr="005A6F55">
        <w:t xml:space="preserve"> 32 report notes that at the time of publishing, the requisite </w:t>
      </w:r>
      <w:r w:rsidR="007E6DF7" w:rsidRPr="005A6F55">
        <w:t xml:space="preserve">detailed </w:t>
      </w:r>
      <w:r w:rsidRPr="005A6F55">
        <w:t xml:space="preserve">assessment has not yet been undertaken and </w:t>
      </w:r>
      <w:r w:rsidR="00DC6B9C" w:rsidRPr="005A6F55">
        <w:t>will be</w:t>
      </w:r>
      <w:r w:rsidRPr="005A6F55">
        <w:t xml:space="preserve"> published in </w:t>
      </w:r>
      <w:r w:rsidR="00DC6B9C" w:rsidRPr="005A6F55">
        <w:t xml:space="preserve">approximately </w:t>
      </w:r>
      <w:r w:rsidRPr="005A6F55">
        <w:t>August 2022.</w:t>
      </w:r>
      <w:r w:rsidRPr="005A6F55">
        <w:rPr>
          <w:rStyle w:val="FootnoteReference"/>
        </w:rPr>
        <w:footnoteReference w:id="45"/>
      </w:r>
    </w:p>
    <w:p w14:paraId="590A3894" w14:textId="4DB667A5" w:rsidR="00761903" w:rsidRPr="005A6F55" w:rsidRDefault="00761903" w:rsidP="00E157A1">
      <w:pPr>
        <w:pStyle w:val="Heading2"/>
      </w:pPr>
      <w:r w:rsidRPr="005A6F55">
        <w:t>At the time of preparing this submission</w:t>
      </w:r>
      <w:r w:rsidR="00EF19C4" w:rsidRPr="005A6F55">
        <w:t>,</w:t>
      </w:r>
      <w:r w:rsidRPr="005A6F55">
        <w:t xml:space="preserve"> </w:t>
      </w:r>
      <w:r w:rsidR="007E6DF7" w:rsidRPr="005A6F55">
        <w:t>the</w:t>
      </w:r>
      <w:r w:rsidR="009E7FB9" w:rsidRPr="005A6F55">
        <w:t xml:space="preserve"> impact</w:t>
      </w:r>
      <w:r w:rsidR="007E6DF7" w:rsidRPr="005A6F55">
        <w:t xml:space="preserve"> assessment</w:t>
      </w:r>
      <w:r w:rsidRPr="005A6F55">
        <w:t xml:space="preserve"> had not</w:t>
      </w:r>
      <w:r w:rsidR="00CA3C76" w:rsidRPr="005A6F55">
        <w:t xml:space="preserve"> yet</w:t>
      </w:r>
      <w:r w:rsidRPr="005A6F55">
        <w:t xml:space="preserve"> been made publicly available.</w:t>
      </w:r>
      <w:r w:rsidR="00FC4B87">
        <w:rPr>
          <w:rStyle w:val="FootnoteReference"/>
        </w:rPr>
        <w:footnoteReference w:id="46"/>
      </w:r>
      <w:r w:rsidR="005A6F55" w:rsidRPr="005A6F55">
        <w:t xml:space="preserve"> </w:t>
      </w:r>
      <w:r w:rsidR="007E6DF7" w:rsidRPr="005A6F55">
        <w:t xml:space="preserve">GZ Inc is therefore unable to comment on the </w:t>
      </w:r>
      <w:r w:rsidR="00C1516E" w:rsidRPr="005A6F55">
        <w:t xml:space="preserve">adequacy of the </w:t>
      </w:r>
      <w:r w:rsidR="00454C92" w:rsidRPr="005A6F55">
        <w:t xml:space="preserve">impact </w:t>
      </w:r>
      <w:r w:rsidR="007E6DF7" w:rsidRPr="005A6F55">
        <w:t>assessment and reserves its right to make a further submission on this point.</w:t>
      </w:r>
    </w:p>
    <w:p w14:paraId="62D30A2B" w14:textId="460681B2" w:rsidR="00D63C44" w:rsidRPr="005B4DCE" w:rsidRDefault="00D63C44" w:rsidP="00CD041E">
      <w:pPr>
        <w:pStyle w:val="SubTitleBold"/>
      </w:pPr>
      <w:r w:rsidRPr="000F6495">
        <w:t>Relief sought</w:t>
      </w:r>
    </w:p>
    <w:p w14:paraId="408E7E5F" w14:textId="0C996505" w:rsidR="005B4DCE" w:rsidRPr="00405E3A" w:rsidRDefault="00C55E2A" w:rsidP="005B4DCE">
      <w:pPr>
        <w:pStyle w:val="Heading2"/>
      </w:pPr>
      <w:bookmarkStart w:id="13" w:name="_Ref110949556"/>
      <w:r>
        <w:t xml:space="preserve">GZ </w:t>
      </w:r>
      <w:r w:rsidR="004421FE">
        <w:t xml:space="preserve">Inc </w:t>
      </w:r>
      <w:r>
        <w:t>seeks the following relief</w:t>
      </w:r>
      <w:r w:rsidR="005B4DCE" w:rsidRPr="00405E3A">
        <w:t>:</w:t>
      </w:r>
      <w:bookmarkEnd w:id="13"/>
    </w:p>
    <w:p w14:paraId="43E7D6C9" w14:textId="65DF00F6" w:rsidR="00915C2B" w:rsidRDefault="00915C2B" w:rsidP="005B4DCE">
      <w:pPr>
        <w:pStyle w:val="Heading3"/>
      </w:pPr>
      <w:r>
        <w:t xml:space="preserve">The special character qualifying matter </w:t>
      </w:r>
      <w:r w:rsidR="005A6F55">
        <w:t>under</w:t>
      </w:r>
      <w:r w:rsidR="00B57219">
        <w:t xml:space="preserve"> section </w:t>
      </w:r>
      <w:r w:rsidR="00B81FF1">
        <w:t xml:space="preserve">77I(j) of the RMA </w:t>
      </w:r>
      <w:r>
        <w:t xml:space="preserve">is applied only to sites and areas that have </w:t>
      </w:r>
      <w:r w:rsidRPr="0050558B">
        <w:t>high concentrations of character (</w:t>
      </w:r>
      <w:proofErr w:type="gramStart"/>
      <w:r w:rsidRPr="0050558B">
        <w:t>i.e.</w:t>
      </w:r>
      <w:proofErr w:type="gramEnd"/>
      <w:r w:rsidRPr="0050558B">
        <w:t xml:space="preserve"> areas with a predominance of primary classified buildings)</w:t>
      </w:r>
      <w:r w:rsidR="005A6F55">
        <w:t>.</w:t>
      </w:r>
    </w:p>
    <w:p w14:paraId="3204435F" w14:textId="0AC92D14" w:rsidR="0097502F" w:rsidRPr="00292681" w:rsidRDefault="0097502F" w:rsidP="0097502F">
      <w:pPr>
        <w:pStyle w:val="Heading1"/>
        <w:keepLines/>
        <w:rPr>
          <w:b w:val="0"/>
        </w:rPr>
      </w:pPr>
      <w:r w:rsidRPr="00292681">
        <w:t>RELIEF SOUGHT</w:t>
      </w:r>
    </w:p>
    <w:p w14:paraId="68994F74" w14:textId="01CCB80B" w:rsidR="0097502F" w:rsidRPr="00292681" w:rsidRDefault="00292681" w:rsidP="0097502F">
      <w:pPr>
        <w:pStyle w:val="Heading2"/>
      </w:pPr>
      <w:r w:rsidRPr="00292681">
        <w:t>GZ Inc</w:t>
      </w:r>
      <w:r w:rsidR="0097502F" w:rsidRPr="00292681">
        <w:t xml:space="preserve"> seeks as relief that amendments be made to </w:t>
      </w:r>
      <w:r w:rsidRPr="00292681">
        <w:t>the PDP</w:t>
      </w:r>
      <w:r w:rsidR="0097502F" w:rsidRPr="00292681">
        <w:t xml:space="preserve"> to address the concerns set out above. Without limiting the generality of the foregoing, </w:t>
      </w:r>
      <w:r>
        <w:t>GZ Inc</w:t>
      </w:r>
      <w:r w:rsidR="0097502F" w:rsidRPr="00292681">
        <w:t xml:space="preserve"> seeks:</w:t>
      </w:r>
    </w:p>
    <w:p w14:paraId="5C89FAF7" w14:textId="3FD14434" w:rsidR="0097502F" w:rsidRPr="00292681" w:rsidRDefault="0097502F" w:rsidP="0097502F">
      <w:pPr>
        <w:pStyle w:val="Heading3"/>
      </w:pPr>
      <w:r w:rsidRPr="00292681">
        <w:t xml:space="preserve">The relief specified in paragraphs </w:t>
      </w:r>
      <w:r w:rsidR="009C5105">
        <w:fldChar w:fldCharType="begin"/>
      </w:r>
      <w:r w:rsidR="009C5105">
        <w:instrText xml:space="preserve"> REF _Ref110949542 \r \h </w:instrText>
      </w:r>
      <w:r w:rsidR="009C5105">
        <w:fldChar w:fldCharType="separate"/>
      </w:r>
      <w:r w:rsidR="004A271F">
        <w:t>3.21</w:t>
      </w:r>
      <w:r w:rsidR="009C5105">
        <w:fldChar w:fldCharType="end"/>
      </w:r>
      <w:r w:rsidR="009C5105">
        <w:t xml:space="preserve">, </w:t>
      </w:r>
      <w:r w:rsidR="009C5105">
        <w:fldChar w:fldCharType="begin"/>
      </w:r>
      <w:r w:rsidR="009C5105">
        <w:instrText xml:space="preserve"> REF _Ref110949549 \r \h </w:instrText>
      </w:r>
      <w:r w:rsidR="009C5105">
        <w:fldChar w:fldCharType="separate"/>
      </w:r>
      <w:r w:rsidR="004A271F">
        <w:t>4.22</w:t>
      </w:r>
      <w:r w:rsidR="009C5105">
        <w:fldChar w:fldCharType="end"/>
      </w:r>
      <w:r w:rsidR="009C5105">
        <w:t xml:space="preserve">, </w:t>
      </w:r>
      <w:r w:rsidR="009C5105">
        <w:fldChar w:fldCharType="begin"/>
      </w:r>
      <w:r w:rsidR="009C5105">
        <w:instrText xml:space="preserve"> REF _Ref110949553 \r \h </w:instrText>
      </w:r>
      <w:r w:rsidR="009C5105">
        <w:fldChar w:fldCharType="separate"/>
      </w:r>
      <w:r w:rsidR="004A271F">
        <w:t>5.18</w:t>
      </w:r>
      <w:r w:rsidR="009C5105">
        <w:fldChar w:fldCharType="end"/>
      </w:r>
      <w:r w:rsidR="009C5105">
        <w:t xml:space="preserve"> and </w:t>
      </w:r>
      <w:r w:rsidR="009C5105">
        <w:fldChar w:fldCharType="begin"/>
      </w:r>
      <w:r w:rsidR="009C5105">
        <w:instrText xml:space="preserve"> REF _Ref110949556 \r \h </w:instrText>
      </w:r>
      <w:r w:rsidR="009C5105">
        <w:fldChar w:fldCharType="separate"/>
      </w:r>
      <w:r w:rsidR="004A271F">
        <w:t>6.25</w:t>
      </w:r>
      <w:r w:rsidR="009C5105">
        <w:fldChar w:fldCharType="end"/>
      </w:r>
      <w:r w:rsidRPr="00292681">
        <w:t>, or relief to like effect.</w:t>
      </w:r>
    </w:p>
    <w:p w14:paraId="346DD02A" w14:textId="77777777" w:rsidR="0097502F" w:rsidRPr="00292681" w:rsidRDefault="0097502F" w:rsidP="007761C9">
      <w:pPr>
        <w:pStyle w:val="Heading3"/>
        <w:keepNext/>
      </w:pPr>
      <w:r w:rsidRPr="00292681">
        <w:lastRenderedPageBreak/>
        <w:t>Such further, other, or consequential relief as may be necessary to fully give effect to the submission and/or relief sought in this submission.</w:t>
      </w:r>
    </w:p>
    <w:p w14:paraId="0A7DE7D1" w14:textId="77777777" w:rsidR="004C6880" w:rsidRPr="00421BD5" w:rsidRDefault="004C6880" w:rsidP="007761C9">
      <w:pPr>
        <w:pStyle w:val="Heading2"/>
        <w:keepNext/>
        <w:keepLines/>
        <w:numPr>
          <w:ilvl w:val="0"/>
          <w:numId w:val="0"/>
        </w:numPr>
        <w:ind w:left="720"/>
      </w:pPr>
    </w:p>
    <w:p w14:paraId="1B33042F" w14:textId="442BDEA2" w:rsidR="00D22E42" w:rsidRDefault="00D22E42" w:rsidP="007761C9">
      <w:pPr>
        <w:pStyle w:val="Heading1"/>
        <w:keepLines/>
        <w:numPr>
          <w:ilvl w:val="0"/>
          <w:numId w:val="0"/>
        </w:numPr>
      </w:pPr>
      <w:r>
        <w:t xml:space="preserve">DATED at AUCKLAND this </w:t>
      </w:r>
      <w:r w:rsidR="005057B0">
        <w:rPr>
          <w:highlight w:val="yellow"/>
        </w:rPr>
        <w:t>12</w:t>
      </w:r>
      <w:r w:rsidR="00A17D36" w:rsidRPr="005057B0">
        <w:rPr>
          <w:highlight w:val="yellow"/>
          <w:vertAlign w:val="superscript"/>
        </w:rPr>
        <w:t>th</w:t>
      </w:r>
      <w:r w:rsidR="000E5134" w:rsidRPr="005057B0">
        <w:t xml:space="preserve"> </w:t>
      </w:r>
      <w:r w:rsidRPr="005057B0">
        <w:t xml:space="preserve">day of </w:t>
      </w:r>
      <w:r w:rsidR="005057B0" w:rsidRPr="007A3802">
        <w:t>SEPTEMBER</w:t>
      </w:r>
      <w:r w:rsidR="00960EAB" w:rsidRPr="007A3802">
        <w:t xml:space="preserve"> </w:t>
      </w:r>
      <w:r w:rsidRPr="007A3802">
        <w:t>20</w:t>
      </w:r>
      <w:r w:rsidR="00A17D36" w:rsidRPr="007A3802">
        <w:t>22</w:t>
      </w:r>
    </w:p>
    <w:p w14:paraId="0F344EF3" w14:textId="0D9F64F2" w:rsidR="00D22E42" w:rsidRPr="0014599B" w:rsidRDefault="00960EAB" w:rsidP="007761C9">
      <w:pPr>
        <w:keepNext/>
        <w:spacing w:after="240" w:line="360" w:lineRule="auto"/>
        <w:rPr>
          <w:b/>
        </w:rPr>
      </w:pPr>
      <w:r>
        <w:rPr>
          <w:b/>
        </w:rPr>
        <w:t xml:space="preserve">GENERATION ZERO </w:t>
      </w:r>
      <w:r w:rsidR="00222C40">
        <w:rPr>
          <w:b/>
        </w:rPr>
        <w:t>INCORPORATED</w:t>
      </w:r>
    </w:p>
    <w:p w14:paraId="1E095B15" w14:textId="77777777" w:rsidR="00D22E42" w:rsidRDefault="00D22E42" w:rsidP="007761C9">
      <w:pPr>
        <w:keepNext/>
        <w:rPr>
          <w:b/>
        </w:rPr>
      </w:pPr>
    </w:p>
    <w:p w14:paraId="29D573B5" w14:textId="59DF5A20" w:rsidR="00D22E42" w:rsidRDefault="00D22E42" w:rsidP="007761C9">
      <w:pPr>
        <w:keepNext/>
        <w:spacing w:after="120"/>
        <w:rPr>
          <w:b/>
        </w:rPr>
      </w:pPr>
      <w:r>
        <w:rPr>
          <w:b/>
        </w:rPr>
        <w:t>__________________________</w:t>
      </w:r>
    </w:p>
    <w:p w14:paraId="1EADEBFA" w14:textId="77777777" w:rsidR="00D22E42" w:rsidRDefault="00D22E42" w:rsidP="007761C9">
      <w:pPr>
        <w:keepNext/>
        <w:rPr>
          <w:b/>
        </w:rPr>
      </w:pPr>
    </w:p>
    <w:p w14:paraId="1142997C" w14:textId="6E3EC3EB" w:rsidR="00D22E42" w:rsidRDefault="00D22E42" w:rsidP="007761C9">
      <w:pPr>
        <w:keepNext/>
        <w:rPr>
          <w:b/>
        </w:rPr>
      </w:pPr>
      <w:r>
        <w:rPr>
          <w:b/>
        </w:rPr>
        <w:t>Address for service of Submitter:</w:t>
      </w:r>
    </w:p>
    <w:p w14:paraId="4306DE59" w14:textId="78EF044E" w:rsidR="00D22E42" w:rsidRDefault="00D22E42" w:rsidP="007761C9">
      <w:pPr>
        <w:keepNext/>
        <w:rPr>
          <w:b/>
        </w:rPr>
      </w:pPr>
    </w:p>
    <w:p w14:paraId="798CCDED" w14:textId="7CAC1DCB" w:rsidR="00D22E42" w:rsidRDefault="0021333A" w:rsidP="007761C9">
      <w:pPr>
        <w:keepNext/>
      </w:pPr>
      <w:r>
        <w:t>Generation Zero Incorporated</w:t>
      </w:r>
    </w:p>
    <w:p w14:paraId="71FFFA91" w14:textId="60974616" w:rsidR="0021333A" w:rsidRDefault="0021333A" w:rsidP="007761C9">
      <w:pPr>
        <w:keepNext/>
      </w:pPr>
      <w:r w:rsidRPr="0021333A">
        <w:t>Level 2, 50 The Terrace</w:t>
      </w:r>
    </w:p>
    <w:p w14:paraId="68B95427" w14:textId="3118EBAD" w:rsidR="00D22E42" w:rsidRDefault="0021333A" w:rsidP="00D22E42">
      <w:r>
        <w:t>WELLINGTON 6011</w:t>
      </w:r>
    </w:p>
    <w:p w14:paraId="28DE5208" w14:textId="0FA8DFE8" w:rsidR="00D22E42" w:rsidRDefault="00D22E42" w:rsidP="00D22E42"/>
    <w:p w14:paraId="73FDCC07" w14:textId="036355B1" w:rsidR="00D22E42" w:rsidRDefault="00D22E42" w:rsidP="00D22E42">
      <w:r>
        <w:rPr>
          <w:b/>
        </w:rPr>
        <w:t xml:space="preserve">Telephone: </w:t>
      </w:r>
      <w:r w:rsidR="0021333A">
        <w:t xml:space="preserve"> </w:t>
      </w:r>
      <w:r w:rsidR="00AE6590">
        <w:tab/>
      </w:r>
      <w:r w:rsidR="00703169" w:rsidRPr="00703169">
        <w:t>022</w:t>
      </w:r>
      <w:r w:rsidR="00703169">
        <w:t xml:space="preserve"> </w:t>
      </w:r>
      <w:r w:rsidR="00703169" w:rsidRPr="00703169">
        <w:t>188</w:t>
      </w:r>
      <w:r w:rsidR="00703169">
        <w:t xml:space="preserve"> </w:t>
      </w:r>
      <w:r w:rsidR="00703169" w:rsidRPr="00703169">
        <w:t>3628</w:t>
      </w:r>
    </w:p>
    <w:p w14:paraId="29D9058D" w14:textId="11089A23" w:rsidR="00D22E42" w:rsidRDefault="00D22E42" w:rsidP="00AE6590">
      <w:pPr>
        <w:keepNext/>
      </w:pPr>
      <w:r>
        <w:rPr>
          <w:b/>
        </w:rPr>
        <w:t>Email:</w:t>
      </w:r>
      <w:r w:rsidRPr="00D22E42">
        <w:rPr>
          <w:b/>
        </w:rPr>
        <w:t xml:space="preserve"> </w:t>
      </w:r>
      <w:r w:rsidR="00AE6590">
        <w:rPr>
          <w:b/>
        </w:rPr>
        <w:tab/>
      </w:r>
      <w:r w:rsidR="0021333A" w:rsidRPr="0021333A">
        <w:t>markogarlick@gmail.com</w:t>
      </w:r>
    </w:p>
    <w:p w14:paraId="2B17361D" w14:textId="7E25F3D8" w:rsidR="00FD5DA0" w:rsidRDefault="00D22E42" w:rsidP="0021333A">
      <w:r>
        <w:rPr>
          <w:b/>
        </w:rPr>
        <w:t xml:space="preserve">Contact: </w:t>
      </w:r>
      <w:r w:rsidR="00AE6590">
        <w:rPr>
          <w:b/>
        </w:rPr>
        <w:tab/>
      </w:r>
      <w:r w:rsidR="0021333A">
        <w:t>Marko Garlick</w:t>
      </w:r>
    </w:p>
    <w:sectPr w:rsidR="00FD5DA0" w:rsidSect="0096776D">
      <w:headerReference w:type="default" r:id="rId18"/>
      <w:footerReference w:type="default" r:id="rId19"/>
      <w:headerReference w:type="first" r:id="rId20"/>
      <w:footerReference w:type="first" r:id="rId21"/>
      <w:pgSz w:w="11907" w:h="16840" w:code="9"/>
      <w:pgMar w:top="1440" w:right="1361" w:bottom="1134" w:left="2552" w:header="720" w:footer="454"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453E" w14:textId="77777777" w:rsidR="00876DAA" w:rsidRDefault="00876DAA">
      <w:r>
        <w:separator/>
      </w:r>
    </w:p>
  </w:endnote>
  <w:endnote w:type="continuationSeparator" w:id="0">
    <w:p w14:paraId="6C1EE9A0" w14:textId="77777777" w:rsidR="00876DAA" w:rsidRDefault="0087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5CAF" w14:textId="77777777" w:rsidR="006B02A8" w:rsidRDefault="006B02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436324"/>
      <w:docPartObj>
        <w:docPartGallery w:val="Page Numbers (Bottom of Page)"/>
        <w:docPartUnique/>
      </w:docPartObj>
    </w:sdtPr>
    <w:sdtEndPr>
      <w:rPr>
        <w:noProof/>
      </w:rPr>
    </w:sdtEndPr>
    <w:sdtContent>
      <w:sdt>
        <w:sdtPr>
          <w:id w:val="-635410939"/>
          <w:docPartObj>
            <w:docPartGallery w:val="Page Numbers (Bottom of Page)"/>
            <w:docPartUnique/>
          </w:docPartObj>
        </w:sdtPr>
        <w:sdtEndPr/>
        <w:sdtContent>
          <w:p w14:paraId="6DA86286" w14:textId="11D4B158" w:rsidR="004B06B5" w:rsidRDefault="004D7FCD" w:rsidP="004D7FCD">
            <w:pPr>
              <w:pStyle w:val="Footer"/>
              <w:jc w:val="right"/>
              <w:rPr>
                <w:noProof/>
              </w:rPr>
            </w:pPr>
            <w:r>
              <w:t xml:space="preserve">Page </w:t>
            </w:r>
            <w:r>
              <w:fldChar w:fldCharType="begin"/>
            </w:r>
            <w:r>
              <w:instrText xml:space="preserve"> PAGE   \* MERGEFORMAT </w:instrText>
            </w:r>
            <w:r>
              <w:fldChar w:fldCharType="separate"/>
            </w:r>
            <w:r>
              <w:t>2</w:t>
            </w:r>
            <w:r>
              <w:rPr>
                <w:noProof/>
              </w:rPr>
              <w:fldChar w:fldCharType="end"/>
            </w:r>
          </w:p>
        </w:sdtContent>
      </w:sdt>
    </w:sdtContent>
  </w:sdt>
  <w:p w14:paraId="474BFD08" w14:textId="77777777" w:rsidR="00AB43D3" w:rsidRDefault="00AB43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032181"/>
      <w:docPartObj>
        <w:docPartGallery w:val="Page Numbers (Bottom of Page)"/>
        <w:docPartUnique/>
      </w:docPartObj>
    </w:sdtPr>
    <w:sdtEndPr/>
    <w:sdtContent>
      <w:p w14:paraId="26CB6BD4" w14:textId="77777777" w:rsidR="00292AA0" w:rsidRDefault="00292AA0" w:rsidP="00292AA0">
        <w:pPr>
          <w:pStyle w:val="Footer"/>
          <w:jc w:val="right"/>
          <w:rPr>
            <w:sz w:val="19"/>
          </w:rPr>
        </w:pPr>
        <w:r>
          <w:t xml:space="preserve">Page </w:t>
        </w:r>
        <w:r>
          <w:fldChar w:fldCharType="begin"/>
        </w:r>
        <w:r>
          <w:instrText xml:space="preserve"> PAGE   \* MERGEFORMAT </w:instrText>
        </w:r>
        <w:r>
          <w:fldChar w:fldCharType="separate"/>
        </w:r>
        <w:r>
          <w:t>2</w:t>
        </w:r>
        <w:r>
          <w:rPr>
            <w:noProof/>
          </w:rPr>
          <w:fldChar w:fldCharType="end"/>
        </w:r>
      </w:p>
    </w:sdtContent>
  </w:sdt>
  <w:p w14:paraId="7F75B69F" w14:textId="77777777" w:rsidR="00803200" w:rsidRDefault="008032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817463"/>
      <w:docPartObj>
        <w:docPartGallery w:val="Page Numbers (Bottom of Page)"/>
        <w:docPartUnique/>
      </w:docPartObj>
    </w:sdtPr>
    <w:sdtEndPr>
      <w:rPr>
        <w:noProof/>
      </w:rPr>
    </w:sdtEndPr>
    <w:sdtContent>
      <w:sdt>
        <w:sdtPr>
          <w:id w:val="-104743383"/>
          <w:docPartObj>
            <w:docPartGallery w:val="Page Numbers (Bottom of Page)"/>
            <w:docPartUnique/>
          </w:docPartObj>
        </w:sdtPr>
        <w:sdtEndPr/>
        <w:sdtContent>
          <w:p w14:paraId="4C32A7AF" w14:textId="77777777" w:rsidR="002C4636" w:rsidRDefault="002C4636" w:rsidP="004D7FCD">
            <w:pPr>
              <w:pStyle w:val="Footer"/>
              <w:jc w:val="right"/>
              <w:rPr>
                <w:noProof/>
              </w:rPr>
            </w:pPr>
            <w:r>
              <w:t xml:space="preserve">Page </w:t>
            </w:r>
            <w:r>
              <w:fldChar w:fldCharType="begin"/>
            </w:r>
            <w:r>
              <w:instrText xml:space="preserve"> PAGE   \* MERGEFORMAT </w:instrText>
            </w:r>
            <w:r>
              <w:fldChar w:fldCharType="separate"/>
            </w:r>
            <w:r>
              <w:t>2</w:t>
            </w:r>
            <w:r>
              <w:rPr>
                <w:noProof/>
              </w:rPr>
              <w:fldChar w:fldCharType="end"/>
            </w:r>
          </w:p>
        </w:sdtContent>
      </w:sdt>
    </w:sdtContent>
  </w:sdt>
  <w:p w14:paraId="4E57D005" w14:textId="77777777" w:rsidR="002C4636" w:rsidRDefault="002C46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219169"/>
      <w:docPartObj>
        <w:docPartGallery w:val="Page Numbers (Bottom of Page)"/>
        <w:docPartUnique/>
      </w:docPartObj>
    </w:sdtPr>
    <w:sdtEndPr/>
    <w:sdtContent>
      <w:p w14:paraId="0352D811" w14:textId="77777777" w:rsidR="002C4636" w:rsidRDefault="002C4636" w:rsidP="00292AA0">
        <w:pPr>
          <w:pStyle w:val="Footer"/>
          <w:jc w:val="right"/>
          <w:rPr>
            <w:sz w:val="19"/>
          </w:rPr>
        </w:pPr>
        <w:r>
          <w:t xml:space="preserve">Page </w:t>
        </w:r>
        <w:r>
          <w:fldChar w:fldCharType="begin"/>
        </w:r>
        <w:r>
          <w:instrText xml:space="preserve"> PAGE   \* MERGEFORMAT </w:instrText>
        </w:r>
        <w:r>
          <w:fldChar w:fldCharType="separate"/>
        </w:r>
        <w:r>
          <w:t>2</w:t>
        </w:r>
        <w:r>
          <w:rPr>
            <w:noProof/>
          </w:rPr>
          <w:fldChar w:fldCharType="end"/>
        </w:r>
      </w:p>
    </w:sdtContent>
  </w:sdt>
  <w:p w14:paraId="1C37C750" w14:textId="77777777" w:rsidR="002C4636" w:rsidRDefault="002C463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899548"/>
      <w:docPartObj>
        <w:docPartGallery w:val="Page Numbers (Bottom of Page)"/>
        <w:docPartUnique/>
      </w:docPartObj>
    </w:sdtPr>
    <w:sdtEndPr>
      <w:rPr>
        <w:noProof/>
      </w:rPr>
    </w:sdtEndPr>
    <w:sdtContent>
      <w:sdt>
        <w:sdtPr>
          <w:id w:val="704840548"/>
          <w:docPartObj>
            <w:docPartGallery w:val="Page Numbers (Bottom of Page)"/>
            <w:docPartUnique/>
          </w:docPartObj>
        </w:sdtPr>
        <w:sdtEndPr/>
        <w:sdtContent>
          <w:p w14:paraId="2E5C688F" w14:textId="77777777" w:rsidR="002C4636" w:rsidRDefault="002C4636" w:rsidP="004D7FCD">
            <w:pPr>
              <w:pStyle w:val="Footer"/>
              <w:jc w:val="right"/>
              <w:rPr>
                <w:noProof/>
              </w:rPr>
            </w:pPr>
            <w:r>
              <w:t xml:space="preserve">Page </w:t>
            </w:r>
            <w:r>
              <w:fldChar w:fldCharType="begin"/>
            </w:r>
            <w:r>
              <w:instrText xml:space="preserve"> PAGE   \* MERGEFORMAT </w:instrText>
            </w:r>
            <w:r>
              <w:fldChar w:fldCharType="separate"/>
            </w:r>
            <w:r>
              <w:t>2</w:t>
            </w:r>
            <w:r>
              <w:rPr>
                <w:noProof/>
              </w:rPr>
              <w:fldChar w:fldCharType="end"/>
            </w:r>
          </w:p>
        </w:sdtContent>
      </w:sdt>
    </w:sdtContent>
  </w:sdt>
  <w:p w14:paraId="2A240CF2" w14:textId="77777777" w:rsidR="002C4636" w:rsidRDefault="002C463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710020"/>
      <w:docPartObj>
        <w:docPartGallery w:val="Page Numbers (Bottom of Page)"/>
        <w:docPartUnique/>
      </w:docPartObj>
    </w:sdtPr>
    <w:sdtEndPr/>
    <w:sdtContent>
      <w:p w14:paraId="01255EBD" w14:textId="77777777" w:rsidR="002C4636" w:rsidRDefault="002C4636" w:rsidP="00292AA0">
        <w:pPr>
          <w:pStyle w:val="Footer"/>
          <w:jc w:val="right"/>
          <w:rPr>
            <w:sz w:val="19"/>
          </w:rPr>
        </w:pPr>
        <w:r>
          <w:t xml:space="preserve">Page </w:t>
        </w:r>
        <w:r>
          <w:fldChar w:fldCharType="begin"/>
        </w:r>
        <w:r>
          <w:instrText xml:space="preserve"> PAGE   \* MERGEFORMAT </w:instrText>
        </w:r>
        <w:r>
          <w:fldChar w:fldCharType="separate"/>
        </w:r>
        <w:r>
          <w:t>2</w:t>
        </w:r>
        <w:r>
          <w:rPr>
            <w:noProof/>
          </w:rPr>
          <w:fldChar w:fldCharType="end"/>
        </w:r>
      </w:p>
    </w:sdtContent>
  </w:sdt>
  <w:p w14:paraId="11B02073" w14:textId="77777777" w:rsidR="002C4636" w:rsidRDefault="002C4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1CE3" w14:textId="77777777" w:rsidR="00876DAA" w:rsidRDefault="00876DAA">
      <w:r>
        <w:continuationSeparator/>
      </w:r>
    </w:p>
  </w:footnote>
  <w:footnote w:type="continuationSeparator" w:id="0">
    <w:p w14:paraId="18CF8BB2" w14:textId="77777777" w:rsidR="00876DAA" w:rsidRDefault="00876DAA">
      <w:r>
        <w:continuationSeparator/>
      </w:r>
    </w:p>
  </w:footnote>
  <w:footnote w:id="1">
    <w:p w14:paraId="025A1132" w14:textId="77777777" w:rsidR="00B62555" w:rsidRPr="00661F7B" w:rsidRDefault="00B62555" w:rsidP="00B62555">
      <w:pPr>
        <w:pStyle w:val="FootnoteText"/>
        <w:ind w:left="709" w:hanging="709"/>
      </w:pPr>
      <w:r w:rsidRPr="00661F7B">
        <w:rPr>
          <w:rStyle w:val="FootnoteReference"/>
          <w:vertAlign w:val="baseline"/>
        </w:rPr>
        <w:footnoteRef/>
      </w:r>
      <w:r w:rsidRPr="00661F7B">
        <w:t xml:space="preserve"> </w:t>
      </w:r>
      <w:r w:rsidRPr="00661F7B">
        <w:tab/>
      </w:r>
      <w:r w:rsidRPr="00661F7B">
        <w:tab/>
        <w:t>PDP, Part 3 – Area-Specific Matters, Zones, Commercial and mixed use, City Centre Zone, CCZ-S1.</w:t>
      </w:r>
    </w:p>
  </w:footnote>
  <w:footnote w:id="2">
    <w:p w14:paraId="1196B0C5" w14:textId="77777777" w:rsidR="00CF2000" w:rsidRPr="00661F7B" w:rsidRDefault="00CF2000" w:rsidP="00CF2000">
      <w:pPr>
        <w:pStyle w:val="FootnoteText"/>
        <w:ind w:left="709" w:hanging="709"/>
        <w:rPr>
          <w:szCs w:val="16"/>
        </w:rPr>
      </w:pPr>
      <w:r w:rsidRPr="00661F7B">
        <w:rPr>
          <w:rStyle w:val="FootnoteReference"/>
          <w:vertAlign w:val="baseline"/>
        </w:rPr>
        <w:footnoteRef/>
      </w:r>
      <w:r w:rsidRPr="00661F7B">
        <w:t xml:space="preserve"> </w:t>
      </w:r>
      <w:r w:rsidRPr="00661F7B">
        <w:tab/>
      </w:r>
      <w:r w:rsidRPr="00661F7B">
        <w:tab/>
      </w:r>
      <w:r w:rsidRPr="00661F7B">
        <w:rPr>
          <w:szCs w:val="16"/>
        </w:rPr>
        <w:t xml:space="preserve">Ministry for the Environment. 2020. </w:t>
      </w:r>
      <w:r w:rsidRPr="00661F7B">
        <w:rPr>
          <w:i/>
          <w:iCs/>
          <w:szCs w:val="16"/>
        </w:rPr>
        <w:t xml:space="preserve">Understanding and implementing intensification provisions for the National Policy Statement on Urban Development. </w:t>
      </w:r>
      <w:r w:rsidRPr="00661F7B">
        <w:rPr>
          <w:szCs w:val="16"/>
        </w:rPr>
        <w:t>Wellington: Ministry for the Environment, pages 29-30.</w:t>
      </w:r>
    </w:p>
  </w:footnote>
  <w:footnote w:id="3">
    <w:p w14:paraId="4795A666" w14:textId="77777777" w:rsidR="00F51162" w:rsidRPr="00661F7B" w:rsidRDefault="00F51162" w:rsidP="00F51162">
      <w:pPr>
        <w:pStyle w:val="FootnoteText"/>
        <w:ind w:left="709" w:hanging="709"/>
      </w:pPr>
      <w:r w:rsidRPr="00661F7B">
        <w:rPr>
          <w:rStyle w:val="FootnoteReference"/>
          <w:vertAlign w:val="baseline"/>
        </w:rPr>
        <w:footnoteRef/>
      </w:r>
      <w:r w:rsidRPr="00661F7B">
        <w:t xml:space="preserve"> </w:t>
      </w:r>
      <w:r w:rsidRPr="00661F7B">
        <w:tab/>
      </w:r>
      <w:r w:rsidRPr="00661F7B">
        <w:tab/>
        <w:t>Auckland Council, Proposed Plan Change 78 Information Sheet #10 The City Centre Zone, page 3.</w:t>
      </w:r>
    </w:p>
  </w:footnote>
  <w:footnote w:id="4">
    <w:p w14:paraId="531D76BD" w14:textId="77777777" w:rsidR="00F51162" w:rsidRPr="00661F7B" w:rsidRDefault="00F51162" w:rsidP="00F51162">
      <w:pPr>
        <w:pStyle w:val="FootnoteText"/>
      </w:pPr>
      <w:r w:rsidRPr="00661F7B">
        <w:rPr>
          <w:rStyle w:val="FootnoteReference"/>
          <w:vertAlign w:val="baseline"/>
        </w:rPr>
        <w:footnoteRef/>
      </w:r>
      <w:r w:rsidRPr="00661F7B">
        <w:t xml:space="preserve"> </w:t>
      </w:r>
      <w:r w:rsidRPr="00661F7B">
        <w:tab/>
      </w:r>
      <w:r w:rsidRPr="00661F7B">
        <w:tab/>
        <w:t>Hutt City Council, Proposed Plan Change 56, amendment 223 on page 98.</w:t>
      </w:r>
    </w:p>
  </w:footnote>
  <w:footnote w:id="5">
    <w:p w14:paraId="2C6108C7" w14:textId="77777777" w:rsidR="00F51162" w:rsidRPr="00661F7B" w:rsidRDefault="00F51162" w:rsidP="00F51162">
      <w:pPr>
        <w:pStyle w:val="FootnoteText"/>
        <w:ind w:left="709" w:hanging="709"/>
      </w:pPr>
      <w:r w:rsidRPr="00661F7B">
        <w:rPr>
          <w:rStyle w:val="FootnoteReference"/>
          <w:vertAlign w:val="baseline"/>
        </w:rPr>
        <w:footnoteRef/>
      </w:r>
      <w:r w:rsidRPr="00661F7B">
        <w:t xml:space="preserve"> </w:t>
      </w:r>
      <w:r w:rsidRPr="00661F7B">
        <w:tab/>
      </w:r>
      <w:r w:rsidRPr="00661F7B">
        <w:tab/>
        <w:t xml:space="preserve">Porirua City Council, Proposed Porirua District Plan, Part 3: Area Specific Matters, Commercial and </w:t>
      </w:r>
      <w:proofErr w:type="gramStart"/>
      <w:r w:rsidRPr="00661F7B">
        <w:t>Mixed Use</w:t>
      </w:r>
      <w:proofErr w:type="gramEnd"/>
      <w:r w:rsidRPr="00661F7B">
        <w:t xml:space="preserve"> Zones, MCZ - Metropolitan Centre Zone, MCZ-S1.</w:t>
      </w:r>
    </w:p>
  </w:footnote>
  <w:footnote w:id="6">
    <w:p w14:paraId="6340C6CB" w14:textId="7EEEA0B3" w:rsidR="00DE420C" w:rsidRPr="00661F7B" w:rsidRDefault="00DE420C" w:rsidP="00DE420C">
      <w:pPr>
        <w:pStyle w:val="FootnoteText"/>
      </w:pPr>
      <w:r w:rsidRPr="00661F7B">
        <w:rPr>
          <w:rStyle w:val="FootnoteReference"/>
          <w:vertAlign w:val="baseline"/>
        </w:rPr>
        <w:footnoteRef/>
      </w:r>
      <w:r w:rsidRPr="00661F7B">
        <w:t xml:space="preserve"> </w:t>
      </w:r>
      <w:r w:rsidRPr="00661F7B">
        <w:tab/>
      </w:r>
      <w:r w:rsidRPr="00661F7B">
        <w:tab/>
      </w:r>
      <w:r w:rsidR="00047451" w:rsidRPr="00661F7B">
        <w:t>NPS</w:t>
      </w:r>
      <w:r w:rsidRPr="00661F7B">
        <w:t>-UD, Policy 4.</w:t>
      </w:r>
    </w:p>
  </w:footnote>
  <w:footnote w:id="7">
    <w:p w14:paraId="25D1895F" w14:textId="630C597E" w:rsidR="005F56A5" w:rsidRPr="00661F7B" w:rsidRDefault="005F56A5" w:rsidP="00001BB4">
      <w:pPr>
        <w:pStyle w:val="FootnoteText"/>
        <w:ind w:left="709" w:hanging="709"/>
      </w:pPr>
      <w:r w:rsidRPr="00661F7B">
        <w:rPr>
          <w:rStyle w:val="FootnoteReference"/>
          <w:vertAlign w:val="baseline"/>
        </w:rPr>
        <w:footnoteRef/>
      </w:r>
      <w:r w:rsidRPr="00661F7B">
        <w:t xml:space="preserve"> </w:t>
      </w:r>
      <w:r w:rsidRPr="00661F7B">
        <w:tab/>
      </w:r>
      <w:r w:rsidR="00177773" w:rsidRPr="00661F7B">
        <w:tab/>
      </w:r>
      <w:r w:rsidR="00B241CE" w:rsidRPr="00661F7B">
        <w:t>Wellington City Council</w:t>
      </w:r>
      <w:r w:rsidR="006D17DF" w:rsidRPr="00661F7B">
        <w:t xml:space="preserve">, </w:t>
      </w:r>
      <w:r w:rsidR="00B241CE" w:rsidRPr="00661F7B">
        <w:t xml:space="preserve">Section 32 - Part 2 - City Centre Zone, Special Purpose Waterfront Zone, Special Purpose Stadium Zone and Te Ngākau Civic Square Precinct, </w:t>
      </w:r>
      <w:r w:rsidR="006D17DF" w:rsidRPr="00661F7B">
        <w:t>page 144.</w:t>
      </w:r>
    </w:p>
  </w:footnote>
  <w:footnote w:id="8">
    <w:p w14:paraId="2D3536C7" w14:textId="08F6B06B" w:rsidR="0080341E" w:rsidRPr="00661F7B" w:rsidRDefault="0080341E">
      <w:pPr>
        <w:pStyle w:val="FootnoteText"/>
      </w:pPr>
      <w:r w:rsidRPr="00661F7B">
        <w:rPr>
          <w:rStyle w:val="FootnoteReference"/>
          <w:vertAlign w:val="baseline"/>
        </w:rPr>
        <w:footnoteRef/>
      </w:r>
      <w:r w:rsidRPr="00661F7B">
        <w:t xml:space="preserve"> </w:t>
      </w:r>
      <w:r w:rsidRPr="00661F7B">
        <w:tab/>
      </w:r>
      <w:r w:rsidR="00177773" w:rsidRPr="00661F7B">
        <w:tab/>
      </w:r>
      <w:r w:rsidR="00CE493C" w:rsidRPr="00661F7B">
        <w:t>Above n</w:t>
      </w:r>
      <w:r w:rsidR="00001BB4" w:rsidRPr="00661F7B">
        <w:fldChar w:fldCharType="begin"/>
      </w:r>
      <w:r w:rsidR="00001BB4" w:rsidRPr="00661F7B">
        <w:instrText xml:space="preserve"> NOTEREF _Ref112927351 \h </w:instrText>
      </w:r>
      <w:r w:rsidR="00001BB4" w:rsidRPr="00661F7B">
        <w:fldChar w:fldCharType="separate"/>
      </w:r>
      <w:r w:rsidR="006B02A8">
        <w:t>7</w:t>
      </w:r>
      <w:r w:rsidR="00001BB4" w:rsidRPr="00661F7B">
        <w:fldChar w:fldCharType="end"/>
      </w:r>
      <w:r w:rsidR="00CE493C" w:rsidRPr="00661F7B">
        <w:t>, page 144.</w:t>
      </w:r>
    </w:p>
  </w:footnote>
  <w:footnote w:id="9">
    <w:p w14:paraId="359A89E9" w14:textId="32773F7B" w:rsidR="0080341E" w:rsidRPr="00661F7B" w:rsidRDefault="0080341E" w:rsidP="0080341E">
      <w:pPr>
        <w:pStyle w:val="FootnoteText"/>
        <w:ind w:left="709" w:hanging="709"/>
      </w:pPr>
      <w:r w:rsidRPr="00661F7B">
        <w:rPr>
          <w:rStyle w:val="FootnoteReference"/>
          <w:vertAlign w:val="baseline"/>
        </w:rPr>
        <w:footnoteRef/>
      </w:r>
      <w:r w:rsidRPr="00661F7B">
        <w:t xml:space="preserve"> </w:t>
      </w:r>
      <w:r w:rsidR="00177773" w:rsidRPr="00661F7B">
        <w:tab/>
      </w:r>
      <w:r w:rsidRPr="00661F7B">
        <w:t>Above n</w:t>
      </w:r>
      <w:r w:rsidR="00001BB4" w:rsidRPr="00661F7B">
        <w:fldChar w:fldCharType="begin"/>
      </w:r>
      <w:r w:rsidR="00001BB4" w:rsidRPr="00661F7B">
        <w:instrText xml:space="preserve"> NOTEREF _Ref112927351 \h </w:instrText>
      </w:r>
      <w:r w:rsidR="00001BB4" w:rsidRPr="00661F7B">
        <w:fldChar w:fldCharType="separate"/>
      </w:r>
      <w:r w:rsidR="006B02A8">
        <w:t>7</w:t>
      </w:r>
      <w:r w:rsidR="00001BB4" w:rsidRPr="00661F7B">
        <w:fldChar w:fldCharType="end"/>
      </w:r>
      <w:r w:rsidRPr="00661F7B">
        <w:t>, page 144.</w:t>
      </w:r>
    </w:p>
  </w:footnote>
  <w:footnote w:id="10">
    <w:p w14:paraId="7C9676B3" w14:textId="3FE4F84E" w:rsidR="0080341E" w:rsidRPr="00661F7B" w:rsidRDefault="0080341E">
      <w:pPr>
        <w:pStyle w:val="FootnoteText"/>
      </w:pPr>
      <w:r w:rsidRPr="00661F7B">
        <w:rPr>
          <w:rStyle w:val="FootnoteReference"/>
          <w:vertAlign w:val="baseline"/>
        </w:rPr>
        <w:footnoteRef/>
      </w:r>
      <w:r w:rsidRPr="00661F7B">
        <w:t xml:space="preserve"> </w:t>
      </w:r>
      <w:r w:rsidRPr="00661F7B">
        <w:tab/>
      </w:r>
      <w:r w:rsidR="00E30E09" w:rsidRPr="00661F7B">
        <w:tab/>
        <w:t>Above n</w:t>
      </w:r>
      <w:r w:rsidR="00001BB4" w:rsidRPr="00661F7B">
        <w:fldChar w:fldCharType="begin"/>
      </w:r>
      <w:r w:rsidR="00001BB4" w:rsidRPr="00661F7B">
        <w:instrText xml:space="preserve"> NOTEREF _Ref112927351 \h </w:instrText>
      </w:r>
      <w:r w:rsidR="00001BB4" w:rsidRPr="00661F7B">
        <w:fldChar w:fldCharType="separate"/>
      </w:r>
      <w:r w:rsidR="006B02A8">
        <w:t>7</w:t>
      </w:r>
      <w:r w:rsidR="00001BB4" w:rsidRPr="00661F7B">
        <w:fldChar w:fldCharType="end"/>
      </w:r>
      <w:r w:rsidR="00E30E09" w:rsidRPr="00661F7B">
        <w:t>, page 145.</w:t>
      </w:r>
    </w:p>
  </w:footnote>
  <w:footnote w:id="11">
    <w:p w14:paraId="4E0520AF" w14:textId="57245554" w:rsidR="00D24ADC" w:rsidRPr="00661F7B" w:rsidRDefault="00D24ADC" w:rsidP="00D24ADC">
      <w:pPr>
        <w:pStyle w:val="FootnoteText"/>
      </w:pPr>
      <w:r w:rsidRPr="00661F7B">
        <w:rPr>
          <w:rStyle w:val="FootnoteReference"/>
          <w:vertAlign w:val="baseline"/>
        </w:rPr>
        <w:footnoteRef/>
      </w:r>
      <w:r w:rsidRPr="00661F7B">
        <w:t xml:space="preserve"> </w:t>
      </w:r>
      <w:r w:rsidRPr="00661F7B">
        <w:tab/>
      </w:r>
      <w:r w:rsidRPr="00661F7B">
        <w:tab/>
        <w:t>Above n</w:t>
      </w:r>
      <w:r w:rsidR="009105E7" w:rsidRPr="00661F7B">
        <w:fldChar w:fldCharType="begin"/>
      </w:r>
      <w:r w:rsidR="009105E7" w:rsidRPr="00661F7B">
        <w:instrText xml:space="preserve"> NOTEREF _Ref112927187 \h </w:instrText>
      </w:r>
      <w:r w:rsidR="009105E7" w:rsidRPr="00661F7B">
        <w:fldChar w:fldCharType="separate"/>
      </w:r>
      <w:r w:rsidR="006B02A8">
        <w:t>2</w:t>
      </w:r>
      <w:r w:rsidR="009105E7" w:rsidRPr="00661F7B">
        <w:fldChar w:fldCharType="end"/>
      </w:r>
      <w:r w:rsidRPr="00661F7B">
        <w:t>, at 5.5.2.</w:t>
      </w:r>
    </w:p>
  </w:footnote>
  <w:footnote w:id="12">
    <w:p w14:paraId="516A61E1" w14:textId="2895E63F" w:rsidR="00E46D77" w:rsidRPr="00661F7B" w:rsidRDefault="00E46D77">
      <w:pPr>
        <w:pStyle w:val="FootnoteText"/>
      </w:pPr>
      <w:r w:rsidRPr="00661F7B">
        <w:rPr>
          <w:rStyle w:val="FootnoteReference"/>
          <w:vertAlign w:val="baseline"/>
        </w:rPr>
        <w:footnoteRef/>
      </w:r>
      <w:r w:rsidRPr="00661F7B">
        <w:t xml:space="preserve"> </w:t>
      </w:r>
      <w:r w:rsidRPr="00661F7B">
        <w:tab/>
      </w:r>
      <w:r w:rsidRPr="00661F7B">
        <w:tab/>
        <w:t>Ibid.</w:t>
      </w:r>
    </w:p>
  </w:footnote>
  <w:footnote w:id="13">
    <w:p w14:paraId="7448EA6E" w14:textId="61FBD12F" w:rsidR="00E276F8" w:rsidRPr="00661F7B" w:rsidRDefault="00E276F8" w:rsidP="00E276F8">
      <w:pPr>
        <w:pStyle w:val="FootnoteText"/>
        <w:ind w:left="709" w:hanging="709"/>
      </w:pPr>
      <w:r w:rsidRPr="00661F7B">
        <w:rPr>
          <w:rStyle w:val="FootnoteReference"/>
          <w:vertAlign w:val="baseline"/>
        </w:rPr>
        <w:footnoteRef/>
      </w:r>
      <w:r w:rsidRPr="00661F7B">
        <w:t xml:space="preserve"> </w:t>
      </w:r>
      <w:r w:rsidRPr="00661F7B">
        <w:tab/>
      </w:r>
      <w:r w:rsidRPr="00661F7B">
        <w:tab/>
      </w:r>
      <w:r w:rsidR="00AF27E9" w:rsidRPr="00661F7B">
        <w:t xml:space="preserve">Wellington City Council, </w:t>
      </w:r>
      <w:r w:rsidRPr="00661F7B">
        <w:t xml:space="preserve">Section 32 report, </w:t>
      </w:r>
      <w:r w:rsidRPr="00661F7B">
        <w:rPr>
          <w:i/>
          <w:iCs/>
        </w:rPr>
        <w:t>Part 1: Context to s32 evaluation and evaluation of proposed Strategic Objectives</w:t>
      </w:r>
      <w:r w:rsidRPr="00661F7B">
        <w:t>, page 4</w:t>
      </w:r>
      <w:r w:rsidR="00B7021A" w:rsidRPr="00661F7B">
        <w:t>3</w:t>
      </w:r>
      <w:r w:rsidRPr="00661F7B">
        <w:t>.</w:t>
      </w:r>
      <w:r w:rsidR="0080628D" w:rsidRPr="00661F7B">
        <w:t xml:space="preserve"> There were 2,897 submissions made on the Draft Spatial plan.</w:t>
      </w:r>
    </w:p>
  </w:footnote>
  <w:footnote w:id="14">
    <w:p w14:paraId="6F7B1537" w14:textId="3ECCDFA2" w:rsidR="002F2290" w:rsidRPr="00661F7B" w:rsidRDefault="002F2290" w:rsidP="009234C8">
      <w:pPr>
        <w:pStyle w:val="FootnoteText"/>
        <w:ind w:left="709" w:hanging="709"/>
      </w:pPr>
      <w:r w:rsidRPr="00661F7B">
        <w:rPr>
          <w:rStyle w:val="FootnoteReference"/>
          <w:vertAlign w:val="baseline"/>
        </w:rPr>
        <w:footnoteRef/>
      </w:r>
      <w:r w:rsidRPr="00661F7B">
        <w:t xml:space="preserve"> </w:t>
      </w:r>
      <w:r w:rsidRPr="00661F7B">
        <w:tab/>
      </w:r>
      <w:r w:rsidRPr="00661F7B">
        <w:tab/>
        <w:t xml:space="preserve">Global Research Limited, </w:t>
      </w:r>
      <w:r w:rsidRPr="00661F7B">
        <w:rPr>
          <w:i/>
          <w:iCs/>
        </w:rPr>
        <w:t>Wellington City Spatial Plan</w:t>
      </w:r>
      <w:r w:rsidRPr="00661F7B">
        <w:t>, 21 December 2021, page 6.</w:t>
      </w:r>
      <w:r w:rsidR="009234C8" w:rsidRPr="00661F7B">
        <w:t xml:space="preserve">  </w:t>
      </w:r>
    </w:p>
  </w:footnote>
  <w:footnote w:id="15">
    <w:p w14:paraId="5ADB09EA" w14:textId="621AAEEB" w:rsidR="00ED31D9" w:rsidRPr="00661F7B" w:rsidRDefault="00ED31D9" w:rsidP="00ED31D9">
      <w:pPr>
        <w:pStyle w:val="FootnoteText"/>
        <w:ind w:left="709" w:hanging="709"/>
      </w:pPr>
      <w:r w:rsidRPr="00661F7B">
        <w:rPr>
          <w:rStyle w:val="FootnoteReference"/>
          <w:vertAlign w:val="baseline"/>
        </w:rPr>
        <w:footnoteRef/>
      </w:r>
      <w:r w:rsidRPr="00661F7B">
        <w:t xml:space="preserve"> </w:t>
      </w:r>
      <w:r w:rsidRPr="00661F7B">
        <w:tab/>
      </w:r>
      <w:r w:rsidRPr="00661F7B">
        <w:tab/>
        <w:t>Pūroro Āmua | Planning and Environment Committee, minutes of meeting on 23 June 2022</w:t>
      </w:r>
      <w:r w:rsidR="001A14BD" w:rsidRPr="00661F7B">
        <w:t>, page 12.</w:t>
      </w:r>
      <w:r w:rsidR="009B38B5" w:rsidRPr="00661F7B">
        <w:t xml:space="preserve">  See also n</w:t>
      </w:r>
      <w:r w:rsidR="00CB62CF" w:rsidRPr="00661F7B">
        <w:fldChar w:fldCharType="begin"/>
      </w:r>
      <w:r w:rsidR="00CB62CF" w:rsidRPr="00661F7B">
        <w:instrText xml:space="preserve"> NOTEREF _Ref111712936 \h </w:instrText>
      </w:r>
      <w:r w:rsidR="00CB62CF" w:rsidRPr="00661F7B">
        <w:fldChar w:fldCharType="separate"/>
      </w:r>
      <w:r w:rsidR="006B02A8">
        <w:t>13</w:t>
      </w:r>
      <w:r w:rsidR="00CB62CF" w:rsidRPr="00661F7B">
        <w:fldChar w:fldCharType="end"/>
      </w:r>
      <w:r w:rsidR="009B38B5" w:rsidRPr="00661F7B">
        <w:t xml:space="preserve"> page 27.</w:t>
      </w:r>
    </w:p>
  </w:footnote>
  <w:footnote w:id="16">
    <w:p w14:paraId="54883EF3" w14:textId="34B56B7A" w:rsidR="00221CEF" w:rsidRPr="00661F7B" w:rsidRDefault="00221CEF">
      <w:pPr>
        <w:pStyle w:val="FootnoteText"/>
      </w:pPr>
      <w:r w:rsidRPr="00661F7B">
        <w:rPr>
          <w:rStyle w:val="FootnoteReference"/>
          <w:vertAlign w:val="baseline"/>
        </w:rPr>
        <w:footnoteRef/>
      </w:r>
      <w:r w:rsidRPr="00661F7B">
        <w:t xml:space="preserve"> </w:t>
      </w:r>
      <w:r w:rsidRPr="00661F7B">
        <w:tab/>
      </w:r>
      <w:r w:rsidRPr="00661F7B">
        <w:tab/>
      </w:r>
      <w:hyperlink r:id="rId1" w:history="1">
        <w:r w:rsidRPr="00661F7B">
          <w:rPr>
            <w:rStyle w:val="Hyperlink"/>
          </w:rPr>
          <w:t>https://youtu.be/WgLkdTpDohQ</w:t>
        </w:r>
      </w:hyperlink>
      <w:r w:rsidRPr="00661F7B">
        <w:t xml:space="preserve">, </w:t>
      </w:r>
      <w:r w:rsidR="003D7C2B" w:rsidRPr="00661F7B">
        <w:t xml:space="preserve">discussion commencing 3:49:38 and concluding </w:t>
      </w:r>
      <w:r w:rsidR="00563B76" w:rsidRPr="00661F7B">
        <w:t>5</w:t>
      </w:r>
      <w:r w:rsidR="003D7C2B" w:rsidRPr="00661F7B">
        <w:t>:</w:t>
      </w:r>
      <w:r w:rsidR="00563B76" w:rsidRPr="00661F7B">
        <w:t>04</w:t>
      </w:r>
      <w:r w:rsidR="003D7C2B" w:rsidRPr="00661F7B">
        <w:t>:</w:t>
      </w:r>
      <w:r w:rsidR="00563B76" w:rsidRPr="00661F7B">
        <w:t>14</w:t>
      </w:r>
      <w:r w:rsidR="003D7C2B" w:rsidRPr="00661F7B">
        <w:t>.</w:t>
      </w:r>
    </w:p>
  </w:footnote>
  <w:footnote w:id="17">
    <w:p w14:paraId="224A93C5" w14:textId="442F9A8A" w:rsidR="000C5C3C" w:rsidRPr="00661F7B" w:rsidRDefault="000C5C3C">
      <w:pPr>
        <w:pStyle w:val="FootnoteText"/>
      </w:pPr>
      <w:r w:rsidRPr="00661F7B">
        <w:rPr>
          <w:rStyle w:val="FootnoteReference"/>
          <w:vertAlign w:val="baseline"/>
        </w:rPr>
        <w:footnoteRef/>
      </w:r>
      <w:r w:rsidRPr="00661F7B">
        <w:t xml:space="preserve"> </w:t>
      </w:r>
      <w:r w:rsidRPr="00661F7B">
        <w:tab/>
      </w:r>
      <w:r w:rsidRPr="00661F7B">
        <w:tab/>
        <w:t>Per Deputy Mayor Free.</w:t>
      </w:r>
    </w:p>
  </w:footnote>
  <w:footnote w:id="18">
    <w:p w14:paraId="62EB5A49" w14:textId="6FBD5C92" w:rsidR="00164DC4" w:rsidRPr="00661F7B" w:rsidRDefault="00164DC4">
      <w:pPr>
        <w:pStyle w:val="FootnoteText"/>
      </w:pPr>
      <w:r w:rsidRPr="00661F7B">
        <w:rPr>
          <w:rStyle w:val="FootnoteReference"/>
          <w:vertAlign w:val="baseline"/>
        </w:rPr>
        <w:footnoteRef/>
      </w:r>
      <w:r w:rsidRPr="00661F7B">
        <w:t xml:space="preserve"> </w:t>
      </w:r>
      <w:r w:rsidRPr="00661F7B">
        <w:tab/>
      </w:r>
      <w:r w:rsidRPr="00661F7B">
        <w:tab/>
        <w:t>Per Liz Kelly</w:t>
      </w:r>
      <w:r w:rsidR="001225A3" w:rsidRPr="00661F7B">
        <w:t xml:space="preserve"> and Deputy Mayor Free.</w:t>
      </w:r>
    </w:p>
  </w:footnote>
  <w:footnote w:id="19">
    <w:p w14:paraId="3B3BE60C" w14:textId="3CFE3CCF" w:rsidR="00164DC4" w:rsidRPr="00661F7B" w:rsidRDefault="00164DC4">
      <w:pPr>
        <w:pStyle w:val="FootnoteText"/>
      </w:pPr>
      <w:r w:rsidRPr="00661F7B">
        <w:rPr>
          <w:rStyle w:val="FootnoteReference"/>
          <w:vertAlign w:val="baseline"/>
        </w:rPr>
        <w:footnoteRef/>
      </w:r>
      <w:r w:rsidRPr="00661F7B">
        <w:t xml:space="preserve"> </w:t>
      </w:r>
      <w:r w:rsidRPr="00661F7B">
        <w:tab/>
      </w:r>
      <w:r w:rsidR="00E21978" w:rsidRPr="00661F7B">
        <w:tab/>
      </w:r>
      <w:r w:rsidRPr="00661F7B">
        <w:t>Per Councillor Pannett.</w:t>
      </w:r>
    </w:p>
  </w:footnote>
  <w:footnote w:id="20">
    <w:p w14:paraId="022CDA27" w14:textId="006FAECA" w:rsidR="001225A3" w:rsidRPr="00661F7B" w:rsidRDefault="001225A3">
      <w:pPr>
        <w:pStyle w:val="FootnoteText"/>
      </w:pPr>
      <w:r w:rsidRPr="00661F7B">
        <w:rPr>
          <w:rStyle w:val="FootnoteReference"/>
          <w:vertAlign w:val="baseline"/>
        </w:rPr>
        <w:footnoteRef/>
      </w:r>
      <w:r w:rsidRPr="00661F7B">
        <w:t xml:space="preserve"> </w:t>
      </w:r>
      <w:r w:rsidRPr="00661F7B">
        <w:tab/>
      </w:r>
      <w:r w:rsidR="00E21978" w:rsidRPr="00661F7B">
        <w:tab/>
      </w:r>
      <w:r w:rsidRPr="00661F7B">
        <w:t>Per Councillor Calvert.</w:t>
      </w:r>
    </w:p>
  </w:footnote>
  <w:footnote w:id="21">
    <w:p w14:paraId="36D4BCDC" w14:textId="6EA2B16D" w:rsidR="00200CB1" w:rsidRPr="00661F7B" w:rsidRDefault="00200CB1">
      <w:pPr>
        <w:pStyle w:val="FootnoteText"/>
      </w:pPr>
      <w:r w:rsidRPr="00661F7B">
        <w:rPr>
          <w:rStyle w:val="FootnoteReference"/>
          <w:vertAlign w:val="baseline"/>
        </w:rPr>
        <w:footnoteRef/>
      </w:r>
      <w:r w:rsidRPr="00661F7B">
        <w:t xml:space="preserve"> </w:t>
      </w:r>
      <w:r w:rsidRPr="00661F7B">
        <w:tab/>
      </w:r>
      <w:r w:rsidRPr="00661F7B">
        <w:tab/>
        <w:t>Per Deputy Mayor Free.</w:t>
      </w:r>
    </w:p>
  </w:footnote>
  <w:footnote w:id="22">
    <w:p w14:paraId="68AE745A" w14:textId="4D51481D" w:rsidR="00040B36" w:rsidRPr="00661F7B" w:rsidRDefault="00040B36" w:rsidP="00040B36">
      <w:pPr>
        <w:pStyle w:val="FootnoteText"/>
        <w:ind w:left="709" w:hanging="709"/>
      </w:pPr>
      <w:r w:rsidRPr="00661F7B">
        <w:rPr>
          <w:rStyle w:val="FootnoteReference"/>
          <w:vertAlign w:val="baseline"/>
        </w:rPr>
        <w:footnoteRef/>
      </w:r>
      <w:r w:rsidRPr="00661F7B">
        <w:t xml:space="preserve"> </w:t>
      </w:r>
      <w:r w:rsidRPr="00661F7B">
        <w:tab/>
      </w:r>
      <w:r w:rsidRPr="00661F7B">
        <w:tab/>
        <w:t xml:space="preserve">Auckland Council, PC 78 – Section 32 Policy 3 Intensification – Part One, 6.6.3 Evaluation of options – What size is a walkable </w:t>
      </w:r>
      <w:proofErr w:type="gramStart"/>
      <w:r w:rsidRPr="00661F7B">
        <w:t>catchment?.</w:t>
      </w:r>
      <w:proofErr w:type="gramEnd"/>
    </w:p>
  </w:footnote>
  <w:footnote w:id="23">
    <w:p w14:paraId="3E7A35C8" w14:textId="4980AC7A" w:rsidR="00AA1B09" w:rsidRPr="00661F7B" w:rsidRDefault="00AA1B09" w:rsidP="00261686">
      <w:pPr>
        <w:pStyle w:val="FootnoteText"/>
        <w:ind w:left="709" w:hanging="709"/>
      </w:pPr>
      <w:r w:rsidRPr="00661F7B">
        <w:rPr>
          <w:rStyle w:val="FootnoteReference"/>
          <w:vertAlign w:val="baseline"/>
        </w:rPr>
        <w:footnoteRef/>
      </w:r>
      <w:r w:rsidRPr="00661F7B">
        <w:t xml:space="preserve"> </w:t>
      </w:r>
      <w:r w:rsidRPr="00661F7B">
        <w:tab/>
      </w:r>
      <w:r w:rsidRPr="00661F7B">
        <w:tab/>
      </w:r>
      <w:r w:rsidR="000D210D" w:rsidRPr="00661F7B">
        <w:t xml:space="preserve">Auckland Council, </w:t>
      </w:r>
      <w:r w:rsidR="000D210D" w:rsidRPr="00661F7B">
        <w:rPr>
          <w:i/>
          <w:iCs/>
        </w:rPr>
        <w:t>Proposed Plan Change 78 Information Sheet #1 Walkable catchments</w:t>
      </w:r>
      <w:r w:rsidR="000D210D" w:rsidRPr="00661F7B">
        <w:t>.</w:t>
      </w:r>
      <w:r w:rsidR="00261686" w:rsidRPr="00661F7B">
        <w:t xml:space="preserve"> </w:t>
      </w:r>
    </w:p>
  </w:footnote>
  <w:footnote w:id="24">
    <w:p w14:paraId="72294297" w14:textId="3A26875B" w:rsidR="00F76A5A" w:rsidRPr="00661F7B" w:rsidRDefault="00F76A5A">
      <w:pPr>
        <w:pStyle w:val="FootnoteText"/>
      </w:pPr>
      <w:r w:rsidRPr="00661F7B">
        <w:rPr>
          <w:rStyle w:val="FootnoteReference"/>
          <w:vertAlign w:val="baseline"/>
        </w:rPr>
        <w:footnoteRef/>
      </w:r>
      <w:r w:rsidRPr="00661F7B">
        <w:t xml:space="preserve"> </w:t>
      </w:r>
      <w:r w:rsidRPr="00661F7B">
        <w:tab/>
      </w:r>
      <w:r w:rsidRPr="00661F7B">
        <w:tab/>
        <w:t>Above n</w:t>
      </w:r>
      <w:r w:rsidRPr="00661F7B">
        <w:fldChar w:fldCharType="begin"/>
      </w:r>
      <w:r w:rsidRPr="00661F7B">
        <w:instrText xml:space="preserve"> NOTEREF _Ref112244285 \h </w:instrText>
      </w:r>
      <w:r w:rsidRPr="00661F7B">
        <w:fldChar w:fldCharType="separate"/>
      </w:r>
      <w:r w:rsidR="006B02A8">
        <w:t>4</w:t>
      </w:r>
      <w:r w:rsidRPr="00661F7B">
        <w:fldChar w:fldCharType="end"/>
      </w:r>
      <w:r w:rsidRPr="00661F7B">
        <w:t>, Plan Change 56</w:t>
      </w:r>
      <w:r w:rsidR="00242CC6" w:rsidRPr="00661F7B">
        <w:t xml:space="preserve">, Volume 2, </w:t>
      </w:r>
      <w:r w:rsidRPr="00661F7B">
        <w:t>Section 32 Evaluation, page 28.</w:t>
      </w:r>
    </w:p>
  </w:footnote>
  <w:footnote w:id="25">
    <w:p w14:paraId="56AB146D" w14:textId="35AAD886" w:rsidR="00CF3D4D" w:rsidRPr="00661F7B" w:rsidRDefault="00CF3D4D" w:rsidP="00CF3D4D">
      <w:pPr>
        <w:pStyle w:val="FootnoteText"/>
        <w:ind w:left="709" w:hanging="709"/>
      </w:pPr>
      <w:r w:rsidRPr="00661F7B">
        <w:rPr>
          <w:rStyle w:val="FootnoteReference"/>
          <w:vertAlign w:val="baseline"/>
        </w:rPr>
        <w:footnoteRef/>
      </w:r>
      <w:r w:rsidRPr="00661F7B">
        <w:t xml:space="preserve"> </w:t>
      </w:r>
      <w:r w:rsidRPr="00661F7B">
        <w:tab/>
      </w:r>
      <w:r w:rsidRPr="00661F7B">
        <w:tab/>
        <w:t xml:space="preserve">Porirua City Council, </w:t>
      </w:r>
      <w:r w:rsidRPr="00661F7B">
        <w:rPr>
          <w:i/>
          <w:iCs/>
        </w:rPr>
        <w:t>Section 32 Evaluation Report – Part B Urban Intensification – MDRS and NPS-UD Policy 3, Appendix H Summary of Mapping methodology</w:t>
      </w:r>
      <w:r w:rsidRPr="00661F7B">
        <w:t>.</w:t>
      </w:r>
    </w:p>
  </w:footnote>
  <w:footnote w:id="26">
    <w:p w14:paraId="37703E76" w14:textId="31D15A61" w:rsidR="00516AF3" w:rsidRPr="00661F7B" w:rsidRDefault="00516AF3">
      <w:pPr>
        <w:pStyle w:val="FootnoteText"/>
      </w:pPr>
      <w:r w:rsidRPr="00661F7B">
        <w:rPr>
          <w:rStyle w:val="FootnoteReference"/>
          <w:vertAlign w:val="baseline"/>
        </w:rPr>
        <w:footnoteRef/>
      </w:r>
      <w:r w:rsidRPr="00661F7B">
        <w:t xml:space="preserve"> </w:t>
      </w:r>
      <w:r w:rsidRPr="00661F7B">
        <w:tab/>
      </w:r>
      <w:r w:rsidRPr="00661F7B">
        <w:tab/>
        <w:t>Above, n</w:t>
      </w:r>
      <w:r w:rsidRPr="00661F7B">
        <w:fldChar w:fldCharType="begin"/>
      </w:r>
      <w:r w:rsidRPr="00661F7B">
        <w:instrText xml:space="preserve"> NOTEREF _Ref111712936 \h </w:instrText>
      </w:r>
      <w:r w:rsidRPr="00661F7B">
        <w:fldChar w:fldCharType="separate"/>
      </w:r>
      <w:r w:rsidR="006B02A8">
        <w:t>13</w:t>
      </w:r>
      <w:r w:rsidRPr="00661F7B">
        <w:fldChar w:fldCharType="end"/>
      </w:r>
      <w:r w:rsidRPr="00661F7B">
        <w:t xml:space="preserve"> at page 51.</w:t>
      </w:r>
    </w:p>
  </w:footnote>
  <w:footnote w:id="27">
    <w:p w14:paraId="7EBF8822" w14:textId="55AF0725" w:rsidR="00FA7FF7" w:rsidRPr="00661F7B" w:rsidRDefault="00FA7FF7">
      <w:pPr>
        <w:pStyle w:val="FootnoteText"/>
      </w:pPr>
      <w:r w:rsidRPr="00661F7B">
        <w:rPr>
          <w:rStyle w:val="FootnoteReference"/>
          <w:vertAlign w:val="baseline"/>
        </w:rPr>
        <w:footnoteRef/>
      </w:r>
      <w:r w:rsidRPr="00661F7B">
        <w:t xml:space="preserve"> </w:t>
      </w:r>
      <w:r w:rsidRPr="00661F7B">
        <w:tab/>
      </w:r>
      <w:r w:rsidRPr="00661F7B">
        <w:tab/>
        <w:t>Above, n</w:t>
      </w:r>
      <w:r w:rsidR="00435AB4" w:rsidRPr="00661F7B">
        <w:fldChar w:fldCharType="begin"/>
      </w:r>
      <w:r w:rsidR="00435AB4" w:rsidRPr="00661F7B">
        <w:instrText xml:space="preserve"> NOTEREF _Ref111712979 \h </w:instrText>
      </w:r>
      <w:r w:rsidR="00435AB4" w:rsidRPr="00661F7B">
        <w:fldChar w:fldCharType="separate"/>
      </w:r>
      <w:r w:rsidR="006B02A8">
        <w:t>16</w:t>
      </w:r>
      <w:r w:rsidR="00435AB4" w:rsidRPr="00661F7B">
        <w:fldChar w:fldCharType="end"/>
      </w:r>
      <w:r w:rsidR="00435AB4" w:rsidRPr="00661F7B">
        <w:t>.</w:t>
      </w:r>
    </w:p>
  </w:footnote>
  <w:footnote w:id="28">
    <w:p w14:paraId="41D85A75" w14:textId="38ECA014" w:rsidR="00187BE6" w:rsidRPr="00661F7B" w:rsidRDefault="00187BE6">
      <w:pPr>
        <w:pStyle w:val="FootnoteText"/>
      </w:pPr>
      <w:r w:rsidRPr="00661F7B">
        <w:rPr>
          <w:rStyle w:val="FootnoteReference"/>
          <w:vertAlign w:val="baseline"/>
        </w:rPr>
        <w:footnoteRef/>
      </w:r>
      <w:r w:rsidRPr="00661F7B">
        <w:t xml:space="preserve"> </w:t>
      </w:r>
      <w:r w:rsidRPr="00661F7B">
        <w:tab/>
      </w:r>
      <w:r w:rsidRPr="00661F7B">
        <w:tab/>
        <w:t>Per Mayor Foster.</w:t>
      </w:r>
    </w:p>
  </w:footnote>
  <w:footnote w:id="29">
    <w:p w14:paraId="4CA8CE02" w14:textId="08F768D7" w:rsidR="00B913DF" w:rsidRPr="00661F7B" w:rsidRDefault="00B913DF">
      <w:pPr>
        <w:pStyle w:val="FootnoteText"/>
      </w:pPr>
      <w:r w:rsidRPr="00661F7B">
        <w:rPr>
          <w:rStyle w:val="FootnoteReference"/>
          <w:vertAlign w:val="baseline"/>
        </w:rPr>
        <w:footnoteRef/>
      </w:r>
      <w:r w:rsidRPr="00661F7B">
        <w:t xml:space="preserve"> </w:t>
      </w:r>
      <w:r w:rsidRPr="00661F7B">
        <w:tab/>
      </w:r>
      <w:r w:rsidRPr="00661F7B">
        <w:tab/>
        <w:t>Per Liz Kelly.</w:t>
      </w:r>
    </w:p>
  </w:footnote>
  <w:footnote w:id="30">
    <w:p w14:paraId="7A85D68A" w14:textId="3306E76C" w:rsidR="00F60FF8" w:rsidRPr="00661F7B" w:rsidRDefault="00F60FF8">
      <w:pPr>
        <w:pStyle w:val="FootnoteText"/>
      </w:pPr>
      <w:r w:rsidRPr="00661F7B">
        <w:rPr>
          <w:rStyle w:val="FootnoteReference"/>
          <w:vertAlign w:val="baseline"/>
        </w:rPr>
        <w:footnoteRef/>
      </w:r>
      <w:r w:rsidRPr="00661F7B">
        <w:t xml:space="preserve"> </w:t>
      </w:r>
      <w:r w:rsidRPr="00661F7B">
        <w:tab/>
      </w:r>
      <w:r w:rsidRPr="00661F7B">
        <w:tab/>
        <w:t>Per Councillor Calvert.</w:t>
      </w:r>
    </w:p>
  </w:footnote>
  <w:footnote w:id="31">
    <w:p w14:paraId="4F9CADD8" w14:textId="4510B846" w:rsidR="00B913DF" w:rsidRPr="00661F7B" w:rsidRDefault="00B913DF">
      <w:pPr>
        <w:pStyle w:val="FootnoteText"/>
      </w:pPr>
      <w:r w:rsidRPr="00661F7B">
        <w:rPr>
          <w:rStyle w:val="FootnoteReference"/>
          <w:vertAlign w:val="baseline"/>
        </w:rPr>
        <w:footnoteRef/>
      </w:r>
      <w:r w:rsidRPr="00661F7B">
        <w:t xml:space="preserve"> </w:t>
      </w:r>
      <w:r w:rsidRPr="00661F7B">
        <w:tab/>
      </w:r>
      <w:r w:rsidRPr="00661F7B">
        <w:tab/>
        <w:t xml:space="preserve">Per </w:t>
      </w:r>
      <w:r w:rsidR="00016996" w:rsidRPr="00661F7B">
        <w:t xml:space="preserve">Mayor Foster and </w:t>
      </w:r>
      <w:r w:rsidRPr="00661F7B">
        <w:t>Councillor Calvert</w:t>
      </w:r>
      <w:r w:rsidR="00F60FF8" w:rsidRPr="00661F7B">
        <w:t>.</w:t>
      </w:r>
    </w:p>
  </w:footnote>
  <w:footnote w:id="32">
    <w:p w14:paraId="21866A30" w14:textId="43B658C4" w:rsidR="00B913DF" w:rsidRPr="00661F7B" w:rsidRDefault="00B913DF">
      <w:pPr>
        <w:pStyle w:val="FootnoteText"/>
      </w:pPr>
      <w:r w:rsidRPr="00661F7B">
        <w:rPr>
          <w:rStyle w:val="FootnoteReference"/>
          <w:vertAlign w:val="baseline"/>
        </w:rPr>
        <w:footnoteRef/>
      </w:r>
      <w:r w:rsidRPr="00661F7B">
        <w:t xml:space="preserve"> </w:t>
      </w:r>
      <w:r w:rsidRPr="00661F7B">
        <w:tab/>
      </w:r>
      <w:r w:rsidRPr="00661F7B">
        <w:tab/>
        <w:t>Per Councillor Calvert</w:t>
      </w:r>
      <w:r w:rsidR="00F60FF8" w:rsidRPr="00661F7B">
        <w:t>.</w:t>
      </w:r>
    </w:p>
  </w:footnote>
  <w:footnote w:id="33">
    <w:p w14:paraId="04AB23C7" w14:textId="679E8F65" w:rsidR="0030639D" w:rsidRPr="00661F7B" w:rsidRDefault="0030639D" w:rsidP="0030639D">
      <w:pPr>
        <w:pStyle w:val="FootnoteText"/>
        <w:ind w:left="709" w:hanging="709"/>
      </w:pPr>
      <w:r w:rsidRPr="00661F7B">
        <w:rPr>
          <w:rStyle w:val="FootnoteReference"/>
          <w:vertAlign w:val="baseline"/>
        </w:rPr>
        <w:footnoteRef/>
      </w:r>
      <w:r w:rsidRPr="00661F7B">
        <w:t xml:space="preserve"> </w:t>
      </w:r>
      <w:r w:rsidRPr="00661F7B">
        <w:tab/>
      </w:r>
      <w:r w:rsidR="007F742F" w:rsidRPr="00661F7B">
        <w:t>RLTP 2021</w:t>
      </w:r>
      <w:r w:rsidR="003C50F2" w:rsidRPr="00661F7B">
        <w:t xml:space="preserve">, </w:t>
      </w:r>
      <w:r w:rsidRPr="00661F7B">
        <w:rPr>
          <w:i/>
          <w:iCs/>
        </w:rPr>
        <w:t>“The rapid transit network and services for the Wellington Region comprise the Kapiti, Hutt, Melling and Johnsonville rail lines.”</w:t>
      </w:r>
      <w:r w:rsidRPr="00661F7B">
        <w:t>, page 129.</w:t>
      </w:r>
    </w:p>
  </w:footnote>
  <w:footnote w:id="34">
    <w:p w14:paraId="3C5C8C7B" w14:textId="77777777" w:rsidR="00B05F57" w:rsidRPr="00661F7B" w:rsidRDefault="00B05F57" w:rsidP="00B05F57">
      <w:pPr>
        <w:pStyle w:val="FootnoteText"/>
      </w:pPr>
      <w:r w:rsidRPr="00661F7B">
        <w:rPr>
          <w:rStyle w:val="FootnoteReference"/>
          <w:vertAlign w:val="baseline"/>
        </w:rPr>
        <w:footnoteRef/>
      </w:r>
      <w:r w:rsidRPr="00661F7B">
        <w:t xml:space="preserve"> </w:t>
      </w:r>
      <w:r w:rsidRPr="00661F7B">
        <w:tab/>
      </w:r>
      <w:r w:rsidRPr="00661F7B">
        <w:tab/>
        <w:t>RLTP 2021, page 6.</w:t>
      </w:r>
    </w:p>
  </w:footnote>
  <w:footnote w:id="35">
    <w:p w14:paraId="5C5B5131" w14:textId="66D6E3BC" w:rsidR="00E672EE" w:rsidRPr="00661F7B" w:rsidRDefault="00E672EE" w:rsidP="00E672EE">
      <w:pPr>
        <w:pStyle w:val="FootnoteText"/>
      </w:pPr>
      <w:r w:rsidRPr="00661F7B">
        <w:rPr>
          <w:rStyle w:val="FootnoteReference"/>
          <w:vertAlign w:val="baseline"/>
        </w:rPr>
        <w:footnoteRef/>
      </w:r>
      <w:r w:rsidRPr="00661F7B">
        <w:t xml:space="preserve"> </w:t>
      </w:r>
      <w:r w:rsidRPr="00661F7B">
        <w:tab/>
      </w:r>
      <w:r w:rsidRPr="00661F7B">
        <w:tab/>
        <w:t>Above n</w:t>
      </w:r>
      <w:r w:rsidR="00F8765B" w:rsidRPr="00661F7B">
        <w:fldChar w:fldCharType="begin"/>
      </w:r>
      <w:r w:rsidR="00F8765B" w:rsidRPr="00661F7B">
        <w:instrText xml:space="preserve"> NOTEREF _Ref112927187 \h </w:instrText>
      </w:r>
      <w:r w:rsidR="00F8765B" w:rsidRPr="00661F7B">
        <w:fldChar w:fldCharType="separate"/>
      </w:r>
      <w:r w:rsidR="006B02A8">
        <w:t>2</w:t>
      </w:r>
      <w:r w:rsidR="00F8765B" w:rsidRPr="00661F7B">
        <w:fldChar w:fldCharType="end"/>
      </w:r>
      <w:r w:rsidRPr="00661F7B">
        <w:t>, page 21.</w:t>
      </w:r>
    </w:p>
  </w:footnote>
  <w:footnote w:id="36">
    <w:p w14:paraId="646C97D6" w14:textId="55204BDD" w:rsidR="0037004F" w:rsidRPr="00661F7B" w:rsidRDefault="0037004F" w:rsidP="0037004F">
      <w:pPr>
        <w:pStyle w:val="FootnoteText"/>
      </w:pPr>
      <w:r w:rsidRPr="00661F7B">
        <w:rPr>
          <w:rStyle w:val="FootnoteReference"/>
          <w:vertAlign w:val="baseline"/>
        </w:rPr>
        <w:footnoteRef/>
      </w:r>
      <w:r w:rsidRPr="00661F7B">
        <w:t xml:space="preserve"> </w:t>
      </w:r>
      <w:r w:rsidRPr="00661F7B">
        <w:tab/>
      </w:r>
      <w:r w:rsidRPr="00661F7B">
        <w:tab/>
        <w:t>Above n</w:t>
      </w:r>
      <w:r w:rsidRPr="00661F7B">
        <w:fldChar w:fldCharType="begin"/>
      </w:r>
      <w:r w:rsidRPr="00661F7B">
        <w:instrText xml:space="preserve"> NOTEREF _Ref111712936 \h </w:instrText>
      </w:r>
      <w:r w:rsidRPr="00661F7B">
        <w:fldChar w:fldCharType="separate"/>
      </w:r>
      <w:r w:rsidR="006B02A8">
        <w:t>13</w:t>
      </w:r>
      <w:r w:rsidRPr="00661F7B">
        <w:fldChar w:fldCharType="end"/>
      </w:r>
      <w:r w:rsidRPr="00661F7B">
        <w:t>, page 45.</w:t>
      </w:r>
    </w:p>
  </w:footnote>
  <w:footnote w:id="37">
    <w:p w14:paraId="5A2EC0E7" w14:textId="7F0CB444" w:rsidR="001E32AA" w:rsidRPr="00661F7B" w:rsidRDefault="001E32AA" w:rsidP="002E6C29">
      <w:pPr>
        <w:pStyle w:val="FootnoteText"/>
        <w:ind w:left="709" w:hanging="709"/>
      </w:pPr>
      <w:r w:rsidRPr="00661F7B">
        <w:rPr>
          <w:rStyle w:val="FootnoteReference"/>
          <w:vertAlign w:val="baseline"/>
        </w:rPr>
        <w:footnoteRef/>
      </w:r>
      <w:r w:rsidRPr="00661F7B">
        <w:t xml:space="preserve"> </w:t>
      </w:r>
      <w:r w:rsidRPr="00661F7B">
        <w:tab/>
      </w:r>
      <w:r w:rsidRPr="00661F7B">
        <w:tab/>
        <w:t xml:space="preserve">This including a planned fourth track into Wellington Station.  </w:t>
      </w:r>
      <w:r w:rsidR="002E6C29" w:rsidRPr="00661F7B">
        <w:t xml:space="preserve">See: Greater Wellington Regional Council, </w:t>
      </w:r>
      <w:r w:rsidR="002E6C29" w:rsidRPr="00661F7B">
        <w:rPr>
          <w:i/>
          <w:iCs/>
        </w:rPr>
        <w:t>Wellington Regional Rail Plan 2010 – 2035 “A Better Rail Experience</w:t>
      </w:r>
      <w:r w:rsidR="002E6C29" w:rsidRPr="00661F7B">
        <w:t>”, 2 July 2009, page 20.</w:t>
      </w:r>
    </w:p>
  </w:footnote>
  <w:footnote w:id="38">
    <w:p w14:paraId="04224595" w14:textId="7E74BA7A" w:rsidR="00CB01A3" w:rsidRPr="00661F7B" w:rsidRDefault="00CB01A3" w:rsidP="00CB01A3">
      <w:pPr>
        <w:pStyle w:val="FootnoteText"/>
        <w:ind w:left="709" w:hanging="709"/>
      </w:pPr>
      <w:r w:rsidRPr="00661F7B">
        <w:rPr>
          <w:rStyle w:val="FootnoteReference"/>
          <w:vertAlign w:val="baseline"/>
        </w:rPr>
        <w:footnoteRef/>
      </w:r>
      <w:r w:rsidRPr="00661F7B">
        <w:t xml:space="preserve"> </w:t>
      </w:r>
      <w:r w:rsidRPr="00661F7B">
        <w:tab/>
      </w:r>
      <w:r w:rsidRPr="00661F7B">
        <w:tab/>
        <w:t>Auckland Council, Proposed Plan Change 78 Information Sheet #1 Walkable catchments, page 3.</w:t>
      </w:r>
    </w:p>
  </w:footnote>
  <w:footnote w:id="39">
    <w:p w14:paraId="598FE6B3" w14:textId="530B3DDE" w:rsidR="00AB15AC" w:rsidRPr="00661F7B" w:rsidRDefault="00AB15AC">
      <w:pPr>
        <w:pStyle w:val="FootnoteText"/>
      </w:pPr>
      <w:r w:rsidRPr="00661F7B">
        <w:rPr>
          <w:rStyle w:val="FootnoteReference"/>
          <w:vertAlign w:val="baseline"/>
        </w:rPr>
        <w:footnoteRef/>
      </w:r>
      <w:r w:rsidRPr="00661F7B">
        <w:t xml:space="preserve"> </w:t>
      </w:r>
      <w:r w:rsidRPr="00661F7B">
        <w:tab/>
      </w:r>
      <w:r w:rsidRPr="00661F7B">
        <w:tab/>
      </w:r>
      <w:hyperlink r:id="rId2" w:history="1">
        <w:r w:rsidRPr="00661F7B">
          <w:rPr>
            <w:rStyle w:val="Hyperlink"/>
          </w:rPr>
          <w:t>https://www.metlink.org.nz/service/JVL/timetable</w:t>
        </w:r>
      </w:hyperlink>
      <w:r w:rsidRPr="00661F7B">
        <w:t xml:space="preserve"> accessed on 18 August 2022.</w:t>
      </w:r>
    </w:p>
  </w:footnote>
  <w:footnote w:id="40">
    <w:p w14:paraId="61F46863" w14:textId="56F6AF28" w:rsidR="00AF09D1" w:rsidRPr="00661F7B" w:rsidRDefault="00AF09D1" w:rsidP="006B02A8">
      <w:pPr>
        <w:pStyle w:val="FootnoteText"/>
        <w:ind w:left="709" w:hanging="709"/>
      </w:pPr>
      <w:r w:rsidRPr="00661F7B">
        <w:rPr>
          <w:rStyle w:val="FootnoteReference"/>
          <w:vertAlign w:val="baseline"/>
        </w:rPr>
        <w:footnoteRef/>
      </w:r>
      <w:r w:rsidRPr="00661F7B">
        <w:rPr>
          <w:rStyle w:val="FootnoteReference"/>
          <w:vertAlign w:val="baseline"/>
        </w:rPr>
        <w:t xml:space="preserve"> </w:t>
      </w:r>
      <w:r w:rsidRPr="00661F7B">
        <w:tab/>
        <w:t>Above n</w:t>
      </w:r>
      <w:r w:rsidRPr="00661F7B">
        <w:fldChar w:fldCharType="begin"/>
      </w:r>
      <w:r w:rsidRPr="00661F7B">
        <w:instrText xml:space="preserve"> NOTEREF _Ref111713075 \h </w:instrText>
      </w:r>
      <w:r w:rsidRPr="00661F7B">
        <w:fldChar w:fldCharType="separate"/>
      </w:r>
      <w:r w:rsidR="006B02A8">
        <w:t>6</w:t>
      </w:r>
      <w:r w:rsidRPr="00661F7B">
        <w:fldChar w:fldCharType="end"/>
      </w:r>
      <w:r w:rsidRPr="00661F7B">
        <w:t>, Policy 1.</w:t>
      </w:r>
    </w:p>
  </w:footnote>
  <w:footnote w:id="41">
    <w:p w14:paraId="4A7A61FF" w14:textId="77777777" w:rsidR="00DF3A24" w:rsidRPr="00661F7B" w:rsidRDefault="00DF3A24" w:rsidP="00DF3A24">
      <w:pPr>
        <w:pStyle w:val="FootnoteText"/>
        <w:ind w:left="709" w:hanging="709"/>
      </w:pPr>
      <w:r w:rsidRPr="00661F7B">
        <w:rPr>
          <w:rStyle w:val="FootnoteReference"/>
          <w:vertAlign w:val="baseline"/>
        </w:rPr>
        <w:footnoteRef/>
      </w:r>
      <w:r w:rsidRPr="00661F7B">
        <w:t xml:space="preserve"> </w:t>
      </w:r>
      <w:r w:rsidRPr="00661F7B">
        <w:tab/>
      </w:r>
      <w:r w:rsidRPr="00661F7B">
        <w:tab/>
        <w:t>Generation Zero Incorporated, Submission on Draft Spatial Plan, 5 October 2020 (https://d3n8a8pro7vhmx.cloudfront.net/generationzero/pages/9198/attachments/original/1602275022/Generation_Zero_Draft_Spatial_Plan_Submission.pdf?1602275022).</w:t>
      </w:r>
    </w:p>
  </w:footnote>
  <w:footnote w:id="42">
    <w:p w14:paraId="2B6BE43C" w14:textId="3838C6E7" w:rsidR="00BB63CB" w:rsidRPr="00661F7B" w:rsidRDefault="00BB63CB">
      <w:pPr>
        <w:pStyle w:val="FootnoteText"/>
      </w:pPr>
      <w:r w:rsidRPr="00661F7B">
        <w:rPr>
          <w:rStyle w:val="FootnoteReference"/>
          <w:vertAlign w:val="baseline"/>
        </w:rPr>
        <w:footnoteRef/>
      </w:r>
      <w:r w:rsidRPr="00661F7B">
        <w:t xml:space="preserve"> </w:t>
      </w:r>
      <w:r w:rsidRPr="00661F7B">
        <w:tab/>
      </w:r>
      <w:r w:rsidRPr="00661F7B">
        <w:tab/>
        <w:t>Above n</w:t>
      </w:r>
      <w:r w:rsidRPr="00661F7B">
        <w:fldChar w:fldCharType="begin"/>
      </w:r>
      <w:r w:rsidRPr="00661F7B">
        <w:instrText xml:space="preserve"> NOTEREF _Ref112855179 \h </w:instrText>
      </w:r>
      <w:r w:rsidRPr="00661F7B">
        <w:fldChar w:fldCharType="separate"/>
      </w:r>
      <w:r w:rsidR="006B02A8">
        <w:t>15</w:t>
      </w:r>
      <w:r w:rsidRPr="00661F7B">
        <w:fldChar w:fldCharType="end"/>
      </w:r>
      <w:r w:rsidRPr="00661F7B">
        <w:t>, page 14.</w:t>
      </w:r>
    </w:p>
  </w:footnote>
  <w:footnote w:id="43">
    <w:p w14:paraId="16B1763D" w14:textId="679B6EA6" w:rsidR="00661F7B" w:rsidRPr="00661F7B" w:rsidRDefault="00661F7B" w:rsidP="006B02A8">
      <w:pPr>
        <w:pStyle w:val="FootnoteText"/>
        <w:ind w:left="709" w:hanging="709"/>
      </w:pPr>
      <w:r w:rsidRPr="00661F7B">
        <w:rPr>
          <w:rStyle w:val="FootnoteReference"/>
          <w:vertAlign w:val="baseline"/>
        </w:rPr>
        <w:footnoteRef/>
      </w:r>
      <w:r w:rsidRPr="00661F7B">
        <w:t xml:space="preserve"> </w:t>
      </w:r>
      <w:r w:rsidRPr="00661F7B">
        <w:tab/>
        <w:t xml:space="preserve">With equivalent requirements under section 77P and 77Q for </w:t>
      </w:r>
      <w:r w:rsidR="00DC51BD" w:rsidRPr="00661F7B">
        <w:t>non-residential</w:t>
      </w:r>
      <w:r w:rsidRPr="00661F7B">
        <w:t xml:space="preserve"> urban areas.</w:t>
      </w:r>
    </w:p>
  </w:footnote>
  <w:footnote w:id="44">
    <w:p w14:paraId="06F13C05" w14:textId="50ED4879" w:rsidR="001B14B9" w:rsidRPr="00661F7B" w:rsidRDefault="001B14B9" w:rsidP="001B14B9">
      <w:pPr>
        <w:pStyle w:val="FootnoteText"/>
      </w:pPr>
      <w:r w:rsidRPr="00661F7B">
        <w:rPr>
          <w:rStyle w:val="FootnoteReference"/>
          <w:vertAlign w:val="baseline"/>
        </w:rPr>
        <w:footnoteRef/>
      </w:r>
      <w:r w:rsidRPr="00661F7B">
        <w:t xml:space="preserve"> </w:t>
      </w:r>
      <w:r w:rsidRPr="00661F7B">
        <w:tab/>
      </w:r>
      <w:r w:rsidRPr="00661F7B">
        <w:tab/>
        <w:t>Above n</w:t>
      </w:r>
      <w:r w:rsidRPr="00661F7B">
        <w:fldChar w:fldCharType="begin"/>
      </w:r>
      <w:r w:rsidRPr="00661F7B">
        <w:instrText xml:space="preserve"> NOTEREF _Ref111713075 \h </w:instrText>
      </w:r>
      <w:r w:rsidRPr="00661F7B">
        <w:fldChar w:fldCharType="separate"/>
      </w:r>
      <w:r w:rsidR="006B02A8">
        <w:t>6</w:t>
      </w:r>
      <w:r w:rsidRPr="00661F7B">
        <w:fldChar w:fldCharType="end"/>
      </w:r>
      <w:r w:rsidRPr="00661F7B">
        <w:t>, Objective 3.</w:t>
      </w:r>
    </w:p>
  </w:footnote>
  <w:footnote w:id="45">
    <w:p w14:paraId="6698EB3A" w14:textId="5D8BCF3A" w:rsidR="00761903" w:rsidRPr="00661F7B" w:rsidRDefault="00761903">
      <w:pPr>
        <w:pStyle w:val="FootnoteText"/>
      </w:pPr>
      <w:r w:rsidRPr="00661F7B">
        <w:rPr>
          <w:rStyle w:val="FootnoteReference"/>
          <w:vertAlign w:val="baseline"/>
        </w:rPr>
        <w:footnoteRef/>
      </w:r>
      <w:r w:rsidRPr="00661F7B">
        <w:t xml:space="preserve"> </w:t>
      </w:r>
      <w:r w:rsidRPr="00661F7B">
        <w:tab/>
      </w:r>
      <w:r w:rsidR="006B02A8">
        <w:t xml:space="preserve">Wellington City Council, </w:t>
      </w:r>
      <w:r w:rsidR="006B02A8" w:rsidRPr="0080341E">
        <w:t>Section 32 Evaluation Report, Part 2: Character Precincts and the Mt Victoria North Townscape Precinct</w:t>
      </w:r>
      <w:r w:rsidRPr="00661F7B">
        <w:t>, at 9.3.</w:t>
      </w:r>
    </w:p>
  </w:footnote>
  <w:footnote w:id="46">
    <w:p w14:paraId="69B31688" w14:textId="622D55E1" w:rsidR="00FC4B87" w:rsidRPr="00FC4B87" w:rsidRDefault="00FC4B87">
      <w:pPr>
        <w:pStyle w:val="FootnoteText"/>
      </w:pPr>
      <w:r w:rsidRPr="00FC4B87">
        <w:rPr>
          <w:rStyle w:val="FootnoteReference"/>
          <w:vertAlign w:val="baseline"/>
        </w:rPr>
        <w:footnoteRef/>
      </w:r>
      <w:r w:rsidRPr="00FC4B87">
        <w:t xml:space="preserve"> </w:t>
      </w:r>
      <w:r w:rsidRPr="00FC4B87">
        <w:tab/>
      </w:r>
      <w:r>
        <w:t xml:space="preserve">We have been advised by email that WCC hope to have it available </w:t>
      </w:r>
      <w:r w:rsidR="00FC33E0">
        <w:t>in</w:t>
      </w:r>
      <w:r>
        <w:t xml:space="preserve"> September.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325D" w14:textId="77777777" w:rsidR="006B02A8" w:rsidRDefault="006B02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F6A0" w14:textId="7A1C8836" w:rsidR="004C3A90" w:rsidRDefault="002C4636">
    <w:pPr>
      <w:pStyle w:val="Header"/>
    </w:pPr>
    <w:r>
      <w:rPr>
        <w:noProof/>
      </w:rPr>
      <mc:AlternateContent>
        <mc:Choice Requires="wps">
          <w:drawing>
            <wp:anchor distT="0" distB="0" distL="0" distR="0" simplePos="0" relativeHeight="251688960" behindDoc="1" locked="0" layoutInCell="1" allowOverlap="1" wp14:anchorId="33A2660C" wp14:editId="6D493446">
              <wp:simplePos x="0" y="0"/>
              <wp:positionH relativeFrom="page">
                <wp:posOffset>7030720</wp:posOffset>
              </wp:positionH>
              <wp:positionV relativeFrom="page">
                <wp:align>center</wp:align>
              </wp:positionV>
              <wp:extent cx="411480" cy="3387090"/>
              <wp:effectExtent l="0" t="0" r="7620" b="3810"/>
              <wp:wrapNone/>
              <wp:docPr id="25" name="wmark" descr="Draf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3387090"/>
                      </a:xfrm>
                      <a:prstGeom prst="rect">
                        <a:avLst/>
                      </a:prstGeom>
                      <a:solidFill>
                        <a:srgbClr val="969696">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A9681" w14:textId="77777777" w:rsidR="002C4636" w:rsidRDefault="002C4636" w:rsidP="002C4636">
                          <w:pPr>
                            <w:spacing w:before="900"/>
                            <w:rPr>
                              <w:rFonts w:ascii="Arial Narrow" w:hAnsi="Arial Narrow" w:cs="Tahoma"/>
                              <w:sz w:val="58"/>
                            </w:rPr>
                          </w:pPr>
                          <w:r>
                            <w:rPr>
                              <w:rFonts w:ascii="Arial Narrow" w:hAnsi="Arial Narrow" w:cs="Tahoma"/>
                              <w:sz w:val="58"/>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2660C" id="wmark" o:spid="_x0000_s1026" alt="Draft" style="position:absolute;left:0;text-align:left;margin-left:553.6pt;margin-top:0;width:32.4pt;height:266.7pt;z-index:-251627520;visibility:visible;mso-wrap-style:square;mso-width-percent:0;mso-height-percent:0;mso-wrap-distance-left:0;mso-wrap-distance-top:0;mso-wrap-distance-right:0;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" fillcolor="#969696" stroked="f">
              <v:fill opacity="32896f"/>
              <v:textbox>
                <w:txbxContent>
                  <w:p w14:paraId="1E6A9681" w14:textId="77777777" w:rsidR="002C4636" w:rsidRDefault="002C4636" w:rsidP="002C4636">
                    <w:pPr>
                      <w:spacing w:before="900"/>
                      <w:rPr>
                        <w:rFonts w:ascii="Arial Narrow" w:hAnsi="Arial Narrow" w:cs="Tahoma"/>
                        <w:sz w:val="58"/>
                      </w:rPr>
                    </w:pPr>
                    <w:r>
                      <w:rPr>
                        <w:rFonts w:ascii="Arial Narrow" w:hAnsi="Arial Narrow" w:cs="Tahoma"/>
                        <w:sz w:val="58"/>
                      </w:rPr>
                      <w:t>DRAFT</w:t>
                    </w:r>
                  </w:p>
                </w:txbxContent>
              </v:textbox>
              <w10:wrap anchorx="page" anchory="page"/>
            </v:rect>
          </w:pict>
        </mc:Fallback>
      </mc:AlternateContent>
    </w:r>
    <w:r w:rsidR="006A2CC3">
      <w:rPr>
        <w:noProof/>
      </w:rPr>
      <mc:AlternateContent>
        <mc:Choice Requires="wps">
          <w:drawing>
            <wp:anchor distT="0" distB="0" distL="0" distR="0" simplePos="0" relativeHeight="251661312" behindDoc="1" locked="0" layoutInCell="1" allowOverlap="1" wp14:anchorId="63D0CCBE" wp14:editId="164001B6">
              <wp:simplePos x="0" y="0"/>
              <wp:positionH relativeFrom="page">
                <wp:posOffset>10026015</wp:posOffset>
              </wp:positionH>
              <wp:positionV relativeFrom="margin">
                <wp:align>center</wp:align>
              </wp:positionV>
              <wp:extent cx="411480" cy="3387090"/>
              <wp:effectExtent l="0" t="0" r="7620" b="3810"/>
              <wp:wrapNone/>
              <wp:docPr id="7" name="wmark" descr="Draf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3387090"/>
                      </a:xfrm>
                      <a:prstGeom prst="rect">
                        <a:avLst/>
                      </a:prstGeom>
                      <a:solidFill>
                        <a:srgbClr val="969696">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22434" w14:textId="77777777" w:rsidR="00C054BB" w:rsidRDefault="00C054BB">
                          <w:pPr>
                            <w:spacing w:before="900"/>
                            <w:rPr>
                              <w:rFonts w:ascii="Arial Narrow" w:hAnsi="Arial Narrow" w:cs="Tahoma"/>
                              <w:sz w:val="58"/>
                            </w:rPr>
                          </w:pPr>
                          <w:r>
                            <w:rPr>
                              <w:rFonts w:ascii="Arial Narrow" w:hAnsi="Arial Narrow" w:cs="Tahoma"/>
                              <w:sz w:val="58"/>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0CCBE" id="_x0000_s1027" alt="Draft" style="position:absolute;left:0;text-align:left;margin-left:789.45pt;margin-top:0;width:32.4pt;height:266.7pt;z-index:-251655168;visibility:visible;mso-wrap-style:square;mso-width-percent:0;mso-height-percent:0;mso-wrap-distance-left:0;mso-wrap-distance-top:0;mso-wrap-distance-right:0;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" fillcolor="#969696" stroked="f">
              <v:fill opacity="32896f"/>
              <v:textbox>
                <w:txbxContent>
                  <w:p w14:paraId="7BC22434" w14:textId="77777777" w:rsidR="00C054BB" w:rsidRDefault="00C054BB">
                    <w:pPr>
                      <w:spacing w:before="900"/>
                      <w:rPr>
                        <w:rFonts w:ascii="Arial Narrow" w:hAnsi="Arial Narrow" w:cs="Tahoma"/>
                        <w:sz w:val="58"/>
                      </w:rPr>
                    </w:pPr>
                    <w:r>
                      <w:rPr>
                        <w:rFonts w:ascii="Arial Narrow" w:hAnsi="Arial Narrow" w:cs="Tahoma"/>
                        <w:sz w:val="58"/>
                      </w:rPr>
                      <w:t>DRAFT</w:t>
                    </w:r>
                  </w:p>
                </w:txbxContent>
              </v:textbox>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CDB3" w14:textId="19964B81" w:rsidR="004C3A90" w:rsidRDefault="00C054BB">
    <w:pPr>
      <w:pStyle w:val="Header"/>
    </w:pPr>
    <w:r>
      <w:rPr>
        <w:noProof/>
      </w:rPr>
      <mc:AlternateContent>
        <mc:Choice Requires="wps">
          <w:drawing>
            <wp:anchor distT="0" distB="0" distL="0" distR="0" simplePos="0" relativeHeight="251659264" behindDoc="1" locked="0" layoutInCell="1" allowOverlap="1" wp14:anchorId="76ACFE44" wp14:editId="65A372DB">
              <wp:simplePos x="0" y="0"/>
              <wp:positionH relativeFrom="page">
                <wp:posOffset>7042785</wp:posOffset>
              </wp:positionH>
              <wp:positionV relativeFrom="page">
                <wp:align>center</wp:align>
              </wp:positionV>
              <wp:extent cx="411480" cy="3387090"/>
              <wp:effectExtent l="3810" t="7620" r="3810" b="5715"/>
              <wp:wrapNone/>
              <wp:docPr id="3" name="wmark" descr="Draf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3387090"/>
                      </a:xfrm>
                      <a:prstGeom prst="rect">
                        <a:avLst/>
                      </a:prstGeom>
                      <a:solidFill>
                        <a:srgbClr val="969696">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F8463" w14:textId="77777777" w:rsidR="00C054BB" w:rsidRDefault="00C054BB">
                          <w:pPr>
                            <w:spacing w:before="900"/>
                            <w:rPr>
                              <w:rFonts w:ascii="Arial Narrow" w:hAnsi="Arial Narrow" w:cs="Tahoma"/>
                              <w:sz w:val="58"/>
                            </w:rPr>
                          </w:pPr>
                          <w:r>
                            <w:rPr>
                              <w:rFonts w:ascii="Arial Narrow" w:hAnsi="Arial Narrow" w:cs="Tahoma"/>
                              <w:sz w:val="58"/>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CFE44" id="_x0000_s1028" alt="Draft" style="position:absolute;left:0;text-align:left;margin-left:554.55pt;margin-top:0;width:32.4pt;height:266.7pt;z-index:-251657216;visibility:visible;mso-wrap-style:square;mso-width-percent:0;mso-height-percent:0;mso-wrap-distance-left:0;mso-wrap-distance-top:0;mso-wrap-distance-right:0;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" fillcolor="#969696" stroked="f">
              <v:fill opacity="32896f"/>
              <v:textbox>
                <w:txbxContent>
                  <w:p w14:paraId="355F8463" w14:textId="77777777" w:rsidR="00C054BB" w:rsidRDefault="00C054BB">
                    <w:pPr>
                      <w:spacing w:before="900"/>
                      <w:rPr>
                        <w:rFonts w:ascii="Arial Narrow" w:hAnsi="Arial Narrow" w:cs="Tahoma"/>
                        <w:sz w:val="58"/>
                      </w:rPr>
                    </w:pPr>
                    <w:r>
                      <w:rPr>
                        <w:rFonts w:ascii="Arial Narrow" w:hAnsi="Arial Narrow" w:cs="Tahoma"/>
                        <w:sz w:val="58"/>
                      </w:rPr>
                      <w:t>DRAFT</w:t>
                    </w: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DF65" w14:textId="77777777" w:rsidR="002C4636" w:rsidRDefault="002C4636">
    <w:pPr>
      <w:pStyle w:val="Header"/>
    </w:pPr>
    <w:r>
      <w:rPr>
        <w:noProof/>
      </w:rPr>
      <mc:AlternateContent>
        <mc:Choice Requires="wps">
          <w:drawing>
            <wp:anchor distT="0" distB="0" distL="0" distR="0" simplePos="0" relativeHeight="251686912" behindDoc="1" locked="0" layoutInCell="1" allowOverlap="1" wp14:anchorId="52181675" wp14:editId="550B115D">
              <wp:simplePos x="0" y="0"/>
              <wp:positionH relativeFrom="page">
                <wp:posOffset>10149840</wp:posOffset>
              </wp:positionH>
              <wp:positionV relativeFrom="margin">
                <wp:align>center</wp:align>
              </wp:positionV>
              <wp:extent cx="411480" cy="3387090"/>
              <wp:effectExtent l="0" t="0" r="7620" b="3810"/>
              <wp:wrapNone/>
              <wp:docPr id="24" name="wmark" descr="Draf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3387090"/>
                      </a:xfrm>
                      <a:prstGeom prst="rect">
                        <a:avLst/>
                      </a:prstGeom>
                      <a:solidFill>
                        <a:srgbClr val="969696">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97A4F" w14:textId="77777777" w:rsidR="002C4636" w:rsidRDefault="002C4636">
                          <w:pPr>
                            <w:spacing w:before="900"/>
                            <w:rPr>
                              <w:rFonts w:ascii="Arial Narrow" w:hAnsi="Arial Narrow" w:cs="Tahoma"/>
                              <w:sz w:val="58"/>
                            </w:rPr>
                          </w:pPr>
                          <w:r>
                            <w:rPr>
                              <w:rFonts w:ascii="Arial Narrow" w:hAnsi="Arial Narrow" w:cs="Tahoma"/>
                              <w:sz w:val="58"/>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81675" id="_x0000_s1029" alt="Draft" style="position:absolute;left:0;text-align:left;margin-left:799.2pt;margin-top:0;width:32.4pt;height:266.7pt;z-index:-251629568;visibility:visible;mso-wrap-style:square;mso-width-percent:0;mso-height-percent:0;mso-wrap-distance-left:0;mso-wrap-distance-top:0;mso-wrap-distance-right:0;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" fillcolor="#969696" stroked="f">
              <v:fill opacity="32896f"/>
              <v:textbox>
                <w:txbxContent>
                  <w:p w14:paraId="10A97A4F" w14:textId="77777777" w:rsidR="002C4636" w:rsidRDefault="002C4636">
                    <w:pPr>
                      <w:spacing w:before="900"/>
                      <w:rPr>
                        <w:rFonts w:ascii="Arial Narrow" w:hAnsi="Arial Narrow" w:cs="Tahoma"/>
                        <w:sz w:val="58"/>
                      </w:rPr>
                    </w:pPr>
                    <w:r>
                      <w:rPr>
                        <w:rFonts w:ascii="Arial Narrow" w:hAnsi="Arial Narrow" w:cs="Tahoma"/>
                        <w:sz w:val="58"/>
                      </w:rPr>
                      <w:t>DRAFT</w:t>
                    </w:r>
                  </w:p>
                </w:txbxContent>
              </v:textbox>
              <w10:wrap anchorx="page" anchory="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137B" w14:textId="798FA77E" w:rsidR="000478BD" w:rsidRDefault="006A2CC3">
    <w:pPr>
      <w:pStyle w:val="Header"/>
    </w:pPr>
    <w:r>
      <w:rPr>
        <w:noProof/>
      </w:rPr>
      <mc:AlternateContent>
        <mc:Choice Requires="wps">
          <w:drawing>
            <wp:anchor distT="0" distB="0" distL="0" distR="0" simplePos="0" relativeHeight="251671552" behindDoc="1" locked="0" layoutInCell="1" allowOverlap="1" wp14:anchorId="2601494D" wp14:editId="322E86F5">
              <wp:simplePos x="0" y="0"/>
              <wp:positionH relativeFrom="page">
                <wp:posOffset>10062210</wp:posOffset>
              </wp:positionH>
              <wp:positionV relativeFrom="margin">
                <wp:align>center</wp:align>
              </wp:positionV>
              <wp:extent cx="411480" cy="3387090"/>
              <wp:effectExtent l="0" t="0" r="7620" b="3810"/>
              <wp:wrapNone/>
              <wp:docPr id="12" name="wmark" descr="Draf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3387090"/>
                      </a:xfrm>
                      <a:prstGeom prst="rect">
                        <a:avLst/>
                      </a:prstGeom>
                      <a:solidFill>
                        <a:srgbClr val="969696">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11055" w14:textId="77777777" w:rsidR="000478BD" w:rsidRDefault="000478BD">
                          <w:pPr>
                            <w:spacing w:before="900"/>
                            <w:rPr>
                              <w:rFonts w:ascii="Arial Narrow" w:hAnsi="Arial Narrow" w:cs="Tahoma"/>
                              <w:sz w:val="58"/>
                            </w:rPr>
                          </w:pPr>
                          <w:r>
                            <w:rPr>
                              <w:rFonts w:ascii="Arial Narrow" w:hAnsi="Arial Narrow" w:cs="Tahoma"/>
                              <w:sz w:val="58"/>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1494D" id="_x0000_s1030" alt="Draft" style="position:absolute;left:0;text-align:left;margin-left:792.3pt;margin-top:0;width:32.4pt;height:266.7pt;z-index:-251644928;visibility:visible;mso-wrap-style:square;mso-width-percent:0;mso-height-percent:0;mso-wrap-distance-left:0;mso-wrap-distance-top:0;mso-wrap-distance-right:0;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" fillcolor="#969696" stroked="f">
              <v:fill opacity="32896f"/>
              <v:textbox>
                <w:txbxContent>
                  <w:p w14:paraId="52411055" w14:textId="77777777" w:rsidR="000478BD" w:rsidRDefault="000478BD">
                    <w:pPr>
                      <w:spacing w:before="900"/>
                      <w:rPr>
                        <w:rFonts w:ascii="Arial Narrow" w:hAnsi="Arial Narrow" w:cs="Tahoma"/>
                        <w:sz w:val="58"/>
                      </w:rPr>
                    </w:pPr>
                    <w:r>
                      <w:rPr>
                        <w:rFonts w:ascii="Arial Narrow" w:hAnsi="Arial Narrow" w:cs="Tahoma"/>
                        <w:sz w:val="58"/>
                      </w:rPr>
                      <w:t>DRAFT</w:t>
                    </w:r>
                  </w:p>
                </w:txbxContent>
              </v:textbox>
              <w10:wrap anchorx="page" anchory="margin"/>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782D" w14:textId="77777777" w:rsidR="002C4636" w:rsidRDefault="002C4636">
    <w:pPr>
      <w:pStyle w:val="Header"/>
    </w:pPr>
    <w:r>
      <w:rPr>
        <w:noProof/>
      </w:rPr>
      <mc:AlternateContent>
        <mc:Choice Requires="wps">
          <w:drawing>
            <wp:anchor distT="0" distB="0" distL="0" distR="0" simplePos="0" relativeHeight="251684864" behindDoc="1" locked="0" layoutInCell="1" allowOverlap="1" wp14:anchorId="3EA13608" wp14:editId="5E5D8D60">
              <wp:simplePos x="0" y="0"/>
              <wp:positionH relativeFrom="page">
                <wp:posOffset>7049770</wp:posOffset>
              </wp:positionH>
              <wp:positionV relativeFrom="page">
                <wp:align>center</wp:align>
              </wp:positionV>
              <wp:extent cx="411480" cy="3387090"/>
              <wp:effectExtent l="0" t="0" r="7620" b="3810"/>
              <wp:wrapNone/>
              <wp:docPr id="20" name="wmark" descr="Draf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3387090"/>
                      </a:xfrm>
                      <a:prstGeom prst="rect">
                        <a:avLst/>
                      </a:prstGeom>
                      <a:solidFill>
                        <a:srgbClr val="969696">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0113C" w14:textId="77777777" w:rsidR="002C4636" w:rsidRDefault="002C4636" w:rsidP="002C4636">
                          <w:pPr>
                            <w:spacing w:before="900"/>
                            <w:rPr>
                              <w:rFonts w:ascii="Arial Narrow" w:hAnsi="Arial Narrow" w:cs="Tahoma"/>
                              <w:sz w:val="58"/>
                            </w:rPr>
                          </w:pPr>
                          <w:r>
                            <w:rPr>
                              <w:rFonts w:ascii="Arial Narrow" w:hAnsi="Arial Narrow" w:cs="Tahoma"/>
                              <w:sz w:val="58"/>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13608" id="_x0000_s1031" alt="Draft" style="position:absolute;left:0;text-align:left;margin-left:555.1pt;margin-top:0;width:32.4pt;height:266.7pt;z-index:-251631616;visibility:visible;mso-wrap-style:square;mso-width-percent:0;mso-height-percent:0;mso-wrap-distance-left:0;mso-wrap-distance-top:0;mso-wrap-distance-right:0;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" fillcolor="#969696" stroked="f">
              <v:fill opacity="32896f"/>
              <v:textbox>
                <w:txbxContent>
                  <w:p w14:paraId="7250113C" w14:textId="77777777" w:rsidR="002C4636" w:rsidRDefault="002C4636" w:rsidP="002C4636">
                    <w:pPr>
                      <w:spacing w:before="900"/>
                      <w:rPr>
                        <w:rFonts w:ascii="Arial Narrow" w:hAnsi="Arial Narrow" w:cs="Tahoma"/>
                        <w:sz w:val="58"/>
                      </w:rPr>
                    </w:pPr>
                    <w:r>
                      <w:rPr>
                        <w:rFonts w:ascii="Arial Narrow" w:hAnsi="Arial Narrow" w:cs="Tahoma"/>
                        <w:sz w:val="58"/>
                      </w:rPr>
                      <w:t>DRAFT</w:t>
                    </w:r>
                  </w:p>
                </w:txbxContent>
              </v:textbox>
              <w10:wrap anchorx="page" anchory="page"/>
            </v:rect>
          </w:pict>
        </mc:Fallback>
      </mc:AlternateContent>
    </w:r>
    <w:r>
      <w:rPr>
        <w:noProof/>
      </w:rPr>
      <mc:AlternateContent>
        <mc:Choice Requires="wps">
          <w:drawing>
            <wp:anchor distT="0" distB="0" distL="0" distR="0" simplePos="0" relativeHeight="251681792" behindDoc="1" locked="0" layoutInCell="1" allowOverlap="1" wp14:anchorId="003B160A" wp14:editId="75C91C5A">
              <wp:simplePos x="0" y="0"/>
              <wp:positionH relativeFrom="page">
                <wp:posOffset>10026015</wp:posOffset>
              </wp:positionH>
              <wp:positionV relativeFrom="margin">
                <wp:align>center</wp:align>
              </wp:positionV>
              <wp:extent cx="411480" cy="3387090"/>
              <wp:effectExtent l="0" t="0" r="7620" b="3810"/>
              <wp:wrapNone/>
              <wp:docPr id="21" name="wmark" descr="Draf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3387090"/>
                      </a:xfrm>
                      <a:prstGeom prst="rect">
                        <a:avLst/>
                      </a:prstGeom>
                      <a:solidFill>
                        <a:srgbClr val="969696">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B21C04" w14:textId="77777777" w:rsidR="002C4636" w:rsidRDefault="002C4636">
                          <w:pPr>
                            <w:spacing w:before="900"/>
                            <w:rPr>
                              <w:rFonts w:ascii="Arial Narrow" w:hAnsi="Arial Narrow" w:cs="Tahoma"/>
                              <w:sz w:val="58"/>
                            </w:rPr>
                          </w:pPr>
                          <w:r>
                            <w:rPr>
                              <w:rFonts w:ascii="Arial Narrow" w:hAnsi="Arial Narrow" w:cs="Tahoma"/>
                              <w:sz w:val="58"/>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B160A" id="_x0000_s1032" alt="Draft" style="position:absolute;left:0;text-align:left;margin-left:789.45pt;margin-top:0;width:32.4pt;height:266.7pt;z-index:-251634688;visibility:visible;mso-wrap-style:square;mso-width-percent:0;mso-height-percent:0;mso-wrap-distance-left:0;mso-wrap-distance-top:0;mso-wrap-distance-right:0;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" fillcolor="#969696" stroked="f">
              <v:fill opacity="32896f"/>
              <v:textbox>
                <w:txbxContent>
                  <w:p w14:paraId="04B21C04" w14:textId="77777777" w:rsidR="002C4636" w:rsidRDefault="002C4636">
                    <w:pPr>
                      <w:spacing w:before="900"/>
                      <w:rPr>
                        <w:rFonts w:ascii="Arial Narrow" w:hAnsi="Arial Narrow" w:cs="Tahoma"/>
                        <w:sz w:val="58"/>
                      </w:rPr>
                    </w:pPr>
                    <w:r>
                      <w:rPr>
                        <w:rFonts w:ascii="Arial Narrow" w:hAnsi="Arial Narrow" w:cs="Tahoma"/>
                        <w:sz w:val="58"/>
                      </w:rPr>
                      <w:t>DRAFT</w:t>
                    </w:r>
                  </w:p>
                </w:txbxContent>
              </v:textbox>
              <w10:wrap anchorx="page" anchory="margin"/>
            </v:rect>
          </w:pict>
        </mc:Fallback>
      </mc:AlternateContent>
    </w:r>
    <w:r>
      <w:rPr>
        <w:noProof/>
      </w:rPr>
      <mc:AlternateContent>
        <mc:Choice Requires="wps">
          <w:drawing>
            <wp:anchor distT="0" distB="0" distL="0" distR="0" simplePos="0" relativeHeight="251682816" behindDoc="1" locked="0" layoutInCell="1" allowOverlap="1" wp14:anchorId="3F5194AB" wp14:editId="37C1429B">
              <wp:simplePos x="0" y="0"/>
              <wp:positionH relativeFrom="page">
                <wp:posOffset>10020300</wp:posOffset>
              </wp:positionH>
              <wp:positionV relativeFrom="margin">
                <wp:align>center</wp:align>
              </wp:positionV>
              <wp:extent cx="411480" cy="3387090"/>
              <wp:effectExtent l="0" t="0" r="7620" b="3810"/>
              <wp:wrapNone/>
              <wp:docPr id="22" name="wmark" descr="Draf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3387090"/>
                      </a:xfrm>
                      <a:prstGeom prst="rect">
                        <a:avLst/>
                      </a:prstGeom>
                      <a:solidFill>
                        <a:srgbClr val="969696">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98A9D" w14:textId="77777777" w:rsidR="002C4636" w:rsidRDefault="002C4636">
                          <w:pPr>
                            <w:spacing w:before="900"/>
                            <w:rPr>
                              <w:rFonts w:ascii="Arial Narrow" w:hAnsi="Arial Narrow" w:cs="Tahoma"/>
                              <w:sz w:val="58"/>
                            </w:rPr>
                          </w:pPr>
                          <w:r>
                            <w:rPr>
                              <w:rFonts w:ascii="Arial Narrow" w:hAnsi="Arial Narrow" w:cs="Tahoma"/>
                              <w:sz w:val="58"/>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194AB" id="_x0000_s1033" alt="Draft" style="position:absolute;left:0;text-align:left;margin-left:789pt;margin-top:0;width:32.4pt;height:266.7pt;z-index:-251633664;visibility:visible;mso-wrap-style:square;mso-width-percent:0;mso-height-percent:0;mso-wrap-distance-left:0;mso-wrap-distance-top:0;mso-wrap-distance-right:0;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" fillcolor="#969696" stroked="f">
              <v:fill opacity="32896f"/>
              <v:textbox>
                <w:txbxContent>
                  <w:p w14:paraId="3FE98A9D" w14:textId="77777777" w:rsidR="002C4636" w:rsidRDefault="002C4636">
                    <w:pPr>
                      <w:spacing w:before="900"/>
                      <w:rPr>
                        <w:rFonts w:ascii="Arial Narrow" w:hAnsi="Arial Narrow" w:cs="Tahoma"/>
                        <w:sz w:val="58"/>
                      </w:rPr>
                    </w:pPr>
                    <w:r>
                      <w:rPr>
                        <w:rFonts w:ascii="Arial Narrow" w:hAnsi="Arial Narrow" w:cs="Tahoma"/>
                        <w:sz w:val="58"/>
                      </w:rPr>
                      <w:t>DRAFT</w:t>
                    </w:r>
                  </w:p>
                </w:txbxContent>
              </v:textbox>
              <w10:wrap anchorx="page" anchory="margin"/>
            </v:rect>
          </w:pict>
        </mc:Fallback>
      </mc:AlternateContent>
    </w:r>
    <w:r>
      <w:rPr>
        <w:noProof/>
      </w:rPr>
      <mc:AlternateContent>
        <mc:Choice Requires="wps">
          <w:drawing>
            <wp:anchor distT="0" distB="0" distL="0" distR="0" simplePos="0" relativeHeight="251683840" behindDoc="1" locked="0" layoutInCell="1" allowOverlap="1" wp14:anchorId="0C251006" wp14:editId="04E4763F">
              <wp:simplePos x="0" y="0"/>
              <wp:positionH relativeFrom="page">
                <wp:posOffset>10024110</wp:posOffset>
              </wp:positionH>
              <wp:positionV relativeFrom="margin">
                <wp:align>center</wp:align>
              </wp:positionV>
              <wp:extent cx="411480" cy="3387090"/>
              <wp:effectExtent l="0" t="0" r="7620" b="3810"/>
              <wp:wrapNone/>
              <wp:docPr id="23" name="wmark" descr="Draf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3387090"/>
                      </a:xfrm>
                      <a:prstGeom prst="rect">
                        <a:avLst/>
                      </a:prstGeom>
                      <a:solidFill>
                        <a:srgbClr val="969696">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7759C" w14:textId="77777777" w:rsidR="002C4636" w:rsidRDefault="002C4636">
                          <w:pPr>
                            <w:spacing w:before="900"/>
                            <w:rPr>
                              <w:rFonts w:ascii="Arial Narrow" w:hAnsi="Arial Narrow" w:cs="Tahoma"/>
                              <w:sz w:val="58"/>
                            </w:rPr>
                          </w:pPr>
                          <w:r>
                            <w:rPr>
                              <w:rFonts w:ascii="Arial Narrow" w:hAnsi="Arial Narrow" w:cs="Tahoma"/>
                              <w:sz w:val="58"/>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51006" id="_x0000_s1034" alt="Draft" style="position:absolute;left:0;text-align:left;margin-left:789.3pt;margin-top:0;width:32.4pt;height:266.7pt;z-index:-251632640;visibility:visible;mso-wrap-style:square;mso-width-percent:0;mso-height-percent:0;mso-wrap-distance-left:0;mso-wrap-distance-top:0;mso-wrap-distance-right:0;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" fillcolor="#969696" stroked="f">
              <v:fill opacity="32896f"/>
              <v:textbox>
                <w:txbxContent>
                  <w:p w14:paraId="7D77759C" w14:textId="77777777" w:rsidR="002C4636" w:rsidRDefault="002C4636">
                    <w:pPr>
                      <w:spacing w:before="900"/>
                      <w:rPr>
                        <w:rFonts w:ascii="Arial Narrow" w:hAnsi="Arial Narrow" w:cs="Tahoma"/>
                        <w:sz w:val="58"/>
                      </w:rPr>
                    </w:pPr>
                    <w:r>
                      <w:rPr>
                        <w:rFonts w:ascii="Arial Narrow" w:hAnsi="Arial Narrow" w:cs="Tahoma"/>
                        <w:sz w:val="58"/>
                      </w:rPr>
                      <w:t>DRAFT</w:t>
                    </w:r>
                  </w:p>
                </w:txbxContent>
              </v:textbox>
              <w10:wrap anchorx="page" anchory="margin"/>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EA1A" w14:textId="71B1C700" w:rsidR="006A2CC3" w:rsidRDefault="006A2CC3">
    <w:pPr>
      <w:pStyle w:val="Header"/>
    </w:pPr>
    <w:r>
      <w:rPr>
        <w:noProof/>
      </w:rPr>
      <mc:AlternateContent>
        <mc:Choice Requires="wps">
          <w:drawing>
            <wp:anchor distT="0" distB="0" distL="0" distR="0" simplePos="0" relativeHeight="251677696" behindDoc="1" locked="0" layoutInCell="1" allowOverlap="1" wp14:anchorId="5A28C6E7" wp14:editId="6963757D">
              <wp:simplePos x="0" y="0"/>
              <wp:positionH relativeFrom="page">
                <wp:posOffset>10052685</wp:posOffset>
              </wp:positionH>
              <wp:positionV relativeFrom="margin">
                <wp:align>center</wp:align>
              </wp:positionV>
              <wp:extent cx="411480" cy="3387090"/>
              <wp:effectExtent l="0" t="0" r="7620" b="3810"/>
              <wp:wrapNone/>
              <wp:docPr id="15" name="wmark" descr="Draf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3387090"/>
                      </a:xfrm>
                      <a:prstGeom prst="rect">
                        <a:avLst/>
                      </a:prstGeom>
                      <a:solidFill>
                        <a:srgbClr val="969696">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C6E39" w14:textId="77777777" w:rsidR="006A2CC3" w:rsidRDefault="006A2CC3">
                          <w:pPr>
                            <w:spacing w:before="900"/>
                            <w:rPr>
                              <w:rFonts w:ascii="Arial Narrow" w:hAnsi="Arial Narrow" w:cs="Tahoma"/>
                              <w:sz w:val="58"/>
                            </w:rPr>
                          </w:pPr>
                          <w:r>
                            <w:rPr>
                              <w:rFonts w:ascii="Arial Narrow" w:hAnsi="Arial Narrow" w:cs="Tahoma"/>
                              <w:sz w:val="58"/>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8C6E7" id="_x0000_s1035" alt="Draft" style="position:absolute;left:0;text-align:left;margin-left:791.55pt;margin-top:0;width:32.4pt;height:266.7pt;z-index:-251638784;visibility:visible;mso-wrap-style:square;mso-width-percent:0;mso-height-percent:0;mso-wrap-distance-left:0;mso-wrap-distance-top:0;mso-wrap-distance-right:0;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" fillcolor="#969696" stroked="f">
              <v:fill opacity="32896f"/>
              <v:textbox>
                <w:txbxContent>
                  <w:p w14:paraId="403C6E39" w14:textId="77777777" w:rsidR="006A2CC3" w:rsidRDefault="006A2CC3">
                    <w:pPr>
                      <w:spacing w:before="900"/>
                      <w:rPr>
                        <w:rFonts w:ascii="Arial Narrow" w:hAnsi="Arial Narrow" w:cs="Tahoma"/>
                        <w:sz w:val="58"/>
                      </w:rPr>
                    </w:pPr>
                    <w:r>
                      <w:rPr>
                        <w:rFonts w:ascii="Arial Narrow" w:hAnsi="Arial Narrow" w:cs="Tahoma"/>
                        <w:sz w:val="58"/>
                      </w:rPr>
                      <w:t>DRAFT</w:t>
                    </w:r>
                  </w:p>
                </w:txbxContent>
              </v:textbox>
              <w10:wrap anchorx="page" anchory="margin"/>
            </v:rect>
          </w:pict>
        </mc:Fallback>
      </mc:AlternateContent>
    </w:r>
    <w:r>
      <w:rPr>
        <w:noProof/>
      </w:rPr>
      <mc:AlternateContent>
        <mc:Choice Requires="wps">
          <w:drawing>
            <wp:anchor distT="0" distB="0" distL="0" distR="0" simplePos="0" relativeHeight="251675648" behindDoc="1" locked="0" layoutInCell="1" allowOverlap="1" wp14:anchorId="279F39FE" wp14:editId="2280893C">
              <wp:simplePos x="0" y="0"/>
              <wp:positionH relativeFrom="page">
                <wp:posOffset>7042785</wp:posOffset>
              </wp:positionH>
              <wp:positionV relativeFrom="page">
                <wp:align>center</wp:align>
              </wp:positionV>
              <wp:extent cx="411480" cy="3387090"/>
              <wp:effectExtent l="3810" t="7620" r="3810" b="5715"/>
              <wp:wrapNone/>
              <wp:docPr id="16" name="wmark" descr="Draf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3387090"/>
                      </a:xfrm>
                      <a:prstGeom prst="rect">
                        <a:avLst/>
                      </a:prstGeom>
                      <a:solidFill>
                        <a:srgbClr val="969696">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BC923" w14:textId="77777777" w:rsidR="006A2CC3" w:rsidRDefault="006A2CC3">
                          <w:pPr>
                            <w:spacing w:before="900"/>
                            <w:rPr>
                              <w:rFonts w:ascii="Arial Narrow" w:hAnsi="Arial Narrow" w:cs="Tahoma"/>
                              <w:sz w:val="58"/>
                            </w:rPr>
                          </w:pPr>
                          <w:r>
                            <w:rPr>
                              <w:rFonts w:ascii="Arial Narrow" w:hAnsi="Arial Narrow" w:cs="Tahoma"/>
                              <w:sz w:val="58"/>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F39FE" id="_x0000_s1036" alt="Draft" style="position:absolute;left:0;text-align:left;margin-left:554.55pt;margin-top:0;width:32.4pt;height:266.7pt;z-index:-251640832;visibility:visible;mso-wrap-style:square;mso-width-percent:0;mso-height-percent:0;mso-wrap-distance-left:0;mso-wrap-distance-top:0;mso-wrap-distance-right:0;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" fillcolor="#969696" stroked="f">
              <v:fill opacity="32896f"/>
              <v:textbox>
                <w:txbxContent>
                  <w:p w14:paraId="3C7BC923" w14:textId="77777777" w:rsidR="006A2CC3" w:rsidRDefault="006A2CC3">
                    <w:pPr>
                      <w:spacing w:before="900"/>
                      <w:rPr>
                        <w:rFonts w:ascii="Arial Narrow" w:hAnsi="Arial Narrow" w:cs="Tahoma"/>
                        <w:sz w:val="58"/>
                      </w:rPr>
                    </w:pPr>
                    <w:r>
                      <w:rPr>
                        <w:rFonts w:ascii="Arial Narrow" w:hAnsi="Arial Narrow" w:cs="Tahoma"/>
                        <w:sz w:val="58"/>
                      </w:rPr>
                      <w:t>DRAFT</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E88E20"/>
    <w:lvl w:ilvl="0">
      <w:start w:val="1"/>
      <w:numFmt w:val="decimal"/>
      <w:pStyle w:val="ListNumber5"/>
      <w:lvlText w:val="%1."/>
      <w:lvlJc w:val="left"/>
      <w:pPr>
        <w:tabs>
          <w:tab w:val="num" w:pos="1492"/>
        </w:tabs>
        <w:ind w:left="1492" w:hanging="360"/>
      </w:pPr>
      <w:rPr>
        <w:rFonts w:ascii="Verdana" w:hAnsi="Verdana"/>
        <w:sz w:val="19"/>
      </w:rPr>
    </w:lvl>
  </w:abstractNum>
  <w:abstractNum w:abstractNumId="1" w15:restartNumberingAfterBreak="0">
    <w:nsid w:val="FFFFFF7D"/>
    <w:multiLevelType w:val="singleLevel"/>
    <w:tmpl w:val="66AC5F52"/>
    <w:lvl w:ilvl="0">
      <w:start w:val="1"/>
      <w:numFmt w:val="decimal"/>
      <w:pStyle w:val="ListNumber4"/>
      <w:lvlText w:val="%1."/>
      <w:lvlJc w:val="left"/>
      <w:pPr>
        <w:tabs>
          <w:tab w:val="num" w:pos="1209"/>
        </w:tabs>
        <w:ind w:left="1209" w:hanging="360"/>
      </w:pPr>
      <w:rPr>
        <w:rFonts w:ascii="Verdana" w:hAnsi="Verdana"/>
        <w:sz w:val="19"/>
      </w:rPr>
    </w:lvl>
  </w:abstractNum>
  <w:abstractNum w:abstractNumId="2" w15:restartNumberingAfterBreak="0">
    <w:nsid w:val="FFFFFF7E"/>
    <w:multiLevelType w:val="singleLevel"/>
    <w:tmpl w:val="4EF0BC52"/>
    <w:lvl w:ilvl="0">
      <w:start w:val="1"/>
      <w:numFmt w:val="decimal"/>
      <w:pStyle w:val="ListNumber3"/>
      <w:lvlText w:val="%1."/>
      <w:lvlJc w:val="left"/>
      <w:pPr>
        <w:tabs>
          <w:tab w:val="num" w:pos="926"/>
        </w:tabs>
        <w:ind w:left="926" w:hanging="360"/>
      </w:pPr>
      <w:rPr>
        <w:rFonts w:ascii="Verdana" w:hAnsi="Verdana"/>
        <w:sz w:val="19"/>
      </w:rPr>
    </w:lvl>
  </w:abstractNum>
  <w:abstractNum w:abstractNumId="3" w15:restartNumberingAfterBreak="0">
    <w:nsid w:val="FFFFFF7F"/>
    <w:multiLevelType w:val="singleLevel"/>
    <w:tmpl w:val="B09C001E"/>
    <w:lvl w:ilvl="0">
      <w:start w:val="1"/>
      <w:numFmt w:val="decimal"/>
      <w:pStyle w:val="ListNumber2"/>
      <w:lvlText w:val="%1."/>
      <w:lvlJc w:val="left"/>
      <w:pPr>
        <w:tabs>
          <w:tab w:val="num" w:pos="643"/>
        </w:tabs>
        <w:ind w:left="643" w:hanging="360"/>
      </w:pPr>
      <w:rPr>
        <w:rFonts w:ascii="Verdana" w:hAnsi="Verdana"/>
        <w:sz w:val="19"/>
      </w:rPr>
    </w:lvl>
  </w:abstractNum>
  <w:abstractNum w:abstractNumId="4" w15:restartNumberingAfterBreak="0">
    <w:nsid w:val="FFFFFF80"/>
    <w:multiLevelType w:val="singleLevel"/>
    <w:tmpl w:val="9A1CD25A"/>
    <w:lvl w:ilvl="0">
      <w:start w:val="1"/>
      <w:numFmt w:val="bullet"/>
      <w:pStyle w:val="ListBullet5"/>
      <w:lvlText w:val=""/>
      <w:lvlJc w:val="left"/>
      <w:pPr>
        <w:tabs>
          <w:tab w:val="num" w:pos="1492"/>
        </w:tabs>
        <w:ind w:left="1492" w:hanging="360"/>
      </w:pPr>
      <w:rPr>
        <w:rFonts w:ascii="Verdana" w:hAnsi="Verdana" w:hint="default"/>
        <w:sz w:val="19"/>
      </w:rPr>
    </w:lvl>
  </w:abstractNum>
  <w:abstractNum w:abstractNumId="5" w15:restartNumberingAfterBreak="0">
    <w:nsid w:val="FFFFFF81"/>
    <w:multiLevelType w:val="singleLevel"/>
    <w:tmpl w:val="725CC180"/>
    <w:lvl w:ilvl="0">
      <w:start w:val="1"/>
      <w:numFmt w:val="bullet"/>
      <w:pStyle w:val="ListBullet4"/>
      <w:lvlText w:val=""/>
      <w:lvlJc w:val="left"/>
      <w:pPr>
        <w:tabs>
          <w:tab w:val="num" w:pos="1209"/>
        </w:tabs>
        <w:ind w:left="1209" w:hanging="360"/>
      </w:pPr>
      <w:rPr>
        <w:rFonts w:ascii="Verdana" w:hAnsi="Verdana" w:hint="default"/>
        <w:sz w:val="19"/>
      </w:rPr>
    </w:lvl>
  </w:abstractNum>
  <w:abstractNum w:abstractNumId="6" w15:restartNumberingAfterBreak="0">
    <w:nsid w:val="FFFFFF82"/>
    <w:multiLevelType w:val="singleLevel"/>
    <w:tmpl w:val="69F4269C"/>
    <w:lvl w:ilvl="0">
      <w:start w:val="1"/>
      <w:numFmt w:val="bullet"/>
      <w:pStyle w:val="ListBullet3"/>
      <w:lvlText w:val=""/>
      <w:lvlJc w:val="left"/>
      <w:pPr>
        <w:tabs>
          <w:tab w:val="num" w:pos="926"/>
        </w:tabs>
        <w:ind w:left="926" w:hanging="360"/>
      </w:pPr>
      <w:rPr>
        <w:rFonts w:ascii="Verdana" w:hAnsi="Verdana" w:hint="default"/>
        <w:sz w:val="19"/>
      </w:rPr>
    </w:lvl>
  </w:abstractNum>
  <w:abstractNum w:abstractNumId="7" w15:restartNumberingAfterBreak="0">
    <w:nsid w:val="FFFFFF83"/>
    <w:multiLevelType w:val="singleLevel"/>
    <w:tmpl w:val="6D04A758"/>
    <w:lvl w:ilvl="0">
      <w:start w:val="1"/>
      <w:numFmt w:val="bullet"/>
      <w:pStyle w:val="ListBullet2"/>
      <w:lvlText w:val=""/>
      <w:lvlJc w:val="left"/>
      <w:pPr>
        <w:tabs>
          <w:tab w:val="num" w:pos="643"/>
        </w:tabs>
        <w:ind w:left="643" w:hanging="360"/>
      </w:pPr>
      <w:rPr>
        <w:rFonts w:ascii="Verdana" w:hAnsi="Verdana" w:hint="default"/>
        <w:sz w:val="19"/>
      </w:rPr>
    </w:lvl>
  </w:abstractNum>
  <w:abstractNum w:abstractNumId="8" w15:restartNumberingAfterBreak="0">
    <w:nsid w:val="FFFFFF88"/>
    <w:multiLevelType w:val="singleLevel"/>
    <w:tmpl w:val="5DEA6C58"/>
    <w:lvl w:ilvl="0">
      <w:start w:val="1"/>
      <w:numFmt w:val="decimal"/>
      <w:pStyle w:val="ListNumber"/>
      <w:lvlText w:val="%1."/>
      <w:lvlJc w:val="left"/>
      <w:pPr>
        <w:tabs>
          <w:tab w:val="num" w:pos="360"/>
        </w:tabs>
        <w:ind w:left="360" w:hanging="360"/>
      </w:pPr>
      <w:rPr>
        <w:rFonts w:ascii="Verdana" w:hAnsi="Verdana"/>
        <w:sz w:val="19"/>
      </w:rPr>
    </w:lvl>
  </w:abstractNum>
  <w:abstractNum w:abstractNumId="9" w15:restartNumberingAfterBreak="0">
    <w:nsid w:val="FFFFFF89"/>
    <w:multiLevelType w:val="singleLevel"/>
    <w:tmpl w:val="A99AF992"/>
    <w:lvl w:ilvl="0">
      <w:start w:val="1"/>
      <w:numFmt w:val="bullet"/>
      <w:pStyle w:val="ListBullet"/>
      <w:lvlText w:val=""/>
      <w:lvlJc w:val="left"/>
      <w:pPr>
        <w:tabs>
          <w:tab w:val="num" w:pos="360"/>
        </w:tabs>
        <w:ind w:left="360" w:hanging="360"/>
      </w:pPr>
      <w:rPr>
        <w:rFonts w:ascii="Verdana" w:hAnsi="Verdana" w:hint="default"/>
        <w:sz w:val="19"/>
      </w:rPr>
    </w:lvl>
  </w:abstractNum>
  <w:abstractNum w:abstractNumId="10" w15:restartNumberingAfterBreak="0">
    <w:nsid w:val="FFFFFFFB"/>
    <w:multiLevelType w:val="multilevel"/>
    <w:tmpl w:val="C020075E"/>
    <w:lvl w:ilvl="0">
      <w:start w:val="1"/>
      <w:numFmt w:val="decimal"/>
      <w:pStyle w:val="Heading1"/>
      <w:lvlText w:val="%1."/>
      <w:lvlJc w:val="left"/>
      <w:pPr>
        <w:tabs>
          <w:tab w:val="num" w:pos="0"/>
        </w:tabs>
        <w:ind w:left="720" w:hanging="720"/>
      </w:pPr>
      <w:rPr>
        <w:rFonts w:ascii="Verdana" w:hAnsi="Verdana" w:cs="Arial" w:hint="default"/>
        <w:b w:val="0"/>
        <w:i w:val="0"/>
        <w:color w:val="auto"/>
        <w:sz w:val="19"/>
      </w:rPr>
    </w:lvl>
    <w:lvl w:ilvl="1">
      <w:start w:val="1"/>
      <w:numFmt w:val="decimal"/>
      <w:pStyle w:val="Heading2"/>
      <w:lvlText w:val="%1.%2"/>
      <w:lvlJc w:val="left"/>
      <w:pPr>
        <w:tabs>
          <w:tab w:val="num" w:pos="0"/>
        </w:tabs>
        <w:ind w:left="720" w:hanging="720"/>
      </w:pPr>
      <w:rPr>
        <w:rFonts w:ascii="Verdana" w:hAnsi="Verdana" w:cs="Arial" w:hint="default"/>
        <w:b w:val="0"/>
        <w:i w:val="0"/>
        <w:color w:val="auto"/>
        <w:sz w:val="19"/>
      </w:rPr>
    </w:lvl>
    <w:lvl w:ilvl="2">
      <w:start w:val="1"/>
      <w:numFmt w:val="lowerLetter"/>
      <w:pStyle w:val="Heading3"/>
      <w:lvlText w:val="(%3)"/>
      <w:lvlJc w:val="left"/>
      <w:pPr>
        <w:tabs>
          <w:tab w:val="num" w:pos="1832"/>
        </w:tabs>
        <w:ind w:left="3272" w:hanging="720"/>
      </w:pPr>
      <w:rPr>
        <w:rFonts w:ascii="Verdana" w:hAnsi="Verdana" w:cs="Arial" w:hint="default"/>
        <w:b w:val="0"/>
        <w:i w:val="0"/>
        <w:color w:val="auto"/>
        <w:sz w:val="19"/>
      </w:rPr>
    </w:lvl>
    <w:lvl w:ilvl="3">
      <w:start w:val="1"/>
      <w:numFmt w:val="lowerRoman"/>
      <w:pStyle w:val="Heading4"/>
      <w:lvlText w:val="(%4)"/>
      <w:lvlJc w:val="left"/>
      <w:pPr>
        <w:tabs>
          <w:tab w:val="num" w:pos="971"/>
        </w:tabs>
        <w:ind w:left="3131" w:hanging="720"/>
      </w:pPr>
      <w:rPr>
        <w:rFonts w:ascii="Verdana" w:hAnsi="Verdana" w:cs="Arial" w:hint="default"/>
        <w:b w:val="0"/>
        <w:i w:val="0"/>
        <w:sz w:val="19"/>
        <w:szCs w:val="22"/>
      </w:rPr>
    </w:lvl>
    <w:lvl w:ilvl="4">
      <w:start w:val="1"/>
      <w:numFmt w:val="none"/>
      <w:pStyle w:val="Heading5"/>
      <w:lvlText w:val=""/>
      <w:lvlJc w:val="left"/>
      <w:pPr>
        <w:tabs>
          <w:tab w:val="num" w:pos="0"/>
        </w:tabs>
        <w:ind w:left="0" w:firstLine="0"/>
      </w:pPr>
      <w:rPr>
        <w:rFonts w:ascii="Verdana" w:hAnsi="Verdana" w:cs="Arial" w:hint="default"/>
        <w:sz w:val="19"/>
      </w:rPr>
    </w:lvl>
    <w:lvl w:ilvl="5">
      <w:start w:val="1"/>
      <w:numFmt w:val="none"/>
      <w:pStyle w:val="Heading6"/>
      <w:suff w:val="nothing"/>
      <w:lvlText w:val=""/>
      <w:lvlJc w:val="left"/>
      <w:pPr>
        <w:ind w:left="4287" w:hanging="709"/>
      </w:pPr>
      <w:rPr>
        <w:rFonts w:ascii="Verdana" w:hAnsi="Verdana" w:cs="Arial" w:hint="default"/>
        <w:sz w:val="19"/>
      </w:rPr>
    </w:lvl>
    <w:lvl w:ilvl="6">
      <w:start w:val="1"/>
      <w:numFmt w:val="none"/>
      <w:pStyle w:val="Heading7"/>
      <w:suff w:val="nothing"/>
      <w:lvlText w:val=""/>
      <w:lvlJc w:val="left"/>
      <w:pPr>
        <w:ind w:left="4996" w:hanging="709"/>
      </w:pPr>
      <w:rPr>
        <w:rFonts w:ascii="Verdana" w:hAnsi="Verdana" w:cs="Arial" w:hint="default"/>
        <w:sz w:val="19"/>
      </w:rPr>
    </w:lvl>
    <w:lvl w:ilvl="7">
      <w:start w:val="1"/>
      <w:numFmt w:val="none"/>
      <w:pStyle w:val="Heading8"/>
      <w:suff w:val="nothing"/>
      <w:lvlText w:val=""/>
      <w:lvlJc w:val="left"/>
      <w:pPr>
        <w:ind w:left="5705" w:hanging="709"/>
      </w:pPr>
      <w:rPr>
        <w:rFonts w:ascii="Verdana" w:hAnsi="Verdana" w:cs="Arial" w:hint="default"/>
        <w:sz w:val="19"/>
      </w:rPr>
    </w:lvl>
    <w:lvl w:ilvl="8">
      <w:start w:val="1"/>
      <w:numFmt w:val="none"/>
      <w:pStyle w:val="Heading9"/>
      <w:suff w:val="nothing"/>
      <w:lvlText w:val=""/>
      <w:lvlJc w:val="left"/>
      <w:pPr>
        <w:ind w:left="6414" w:hanging="709"/>
      </w:pPr>
      <w:rPr>
        <w:rFonts w:ascii="Verdana" w:hAnsi="Verdana" w:cs="Arial" w:hint="default"/>
        <w:sz w:val="19"/>
      </w:rPr>
    </w:lvl>
  </w:abstractNum>
  <w:abstractNum w:abstractNumId="11" w15:restartNumberingAfterBreak="0">
    <w:nsid w:val="047936DD"/>
    <w:multiLevelType w:val="multilevel"/>
    <w:tmpl w:val="FCFCF59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58D20DA"/>
    <w:multiLevelType w:val="multilevel"/>
    <w:tmpl w:val="0A7C9F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A1E5926"/>
    <w:multiLevelType w:val="hybridMultilevel"/>
    <w:tmpl w:val="7D3E19DA"/>
    <w:lvl w:ilvl="0" w:tplc="14090001">
      <w:start w:val="1"/>
      <w:numFmt w:val="bullet"/>
      <w:lvlText w:val=""/>
      <w:lvlJc w:val="left"/>
      <w:pPr>
        <w:ind w:left="2220" w:hanging="360"/>
      </w:pPr>
      <w:rPr>
        <w:rFonts w:ascii="Symbol" w:hAnsi="Symbol" w:hint="default"/>
      </w:rPr>
    </w:lvl>
    <w:lvl w:ilvl="1" w:tplc="14090003" w:tentative="1">
      <w:start w:val="1"/>
      <w:numFmt w:val="bullet"/>
      <w:lvlText w:val="o"/>
      <w:lvlJc w:val="left"/>
      <w:pPr>
        <w:ind w:left="2940" w:hanging="360"/>
      </w:pPr>
      <w:rPr>
        <w:rFonts w:ascii="Courier New" w:hAnsi="Courier New" w:cs="Courier New" w:hint="default"/>
      </w:rPr>
    </w:lvl>
    <w:lvl w:ilvl="2" w:tplc="14090005" w:tentative="1">
      <w:start w:val="1"/>
      <w:numFmt w:val="bullet"/>
      <w:lvlText w:val=""/>
      <w:lvlJc w:val="left"/>
      <w:pPr>
        <w:ind w:left="3660" w:hanging="360"/>
      </w:pPr>
      <w:rPr>
        <w:rFonts w:ascii="Wingdings" w:hAnsi="Wingdings" w:hint="default"/>
      </w:rPr>
    </w:lvl>
    <w:lvl w:ilvl="3" w:tplc="14090001" w:tentative="1">
      <w:start w:val="1"/>
      <w:numFmt w:val="bullet"/>
      <w:lvlText w:val=""/>
      <w:lvlJc w:val="left"/>
      <w:pPr>
        <w:ind w:left="4380" w:hanging="360"/>
      </w:pPr>
      <w:rPr>
        <w:rFonts w:ascii="Symbol" w:hAnsi="Symbol" w:hint="default"/>
      </w:rPr>
    </w:lvl>
    <w:lvl w:ilvl="4" w:tplc="14090003" w:tentative="1">
      <w:start w:val="1"/>
      <w:numFmt w:val="bullet"/>
      <w:lvlText w:val="o"/>
      <w:lvlJc w:val="left"/>
      <w:pPr>
        <w:ind w:left="5100" w:hanging="360"/>
      </w:pPr>
      <w:rPr>
        <w:rFonts w:ascii="Courier New" w:hAnsi="Courier New" w:cs="Courier New" w:hint="default"/>
      </w:rPr>
    </w:lvl>
    <w:lvl w:ilvl="5" w:tplc="14090005" w:tentative="1">
      <w:start w:val="1"/>
      <w:numFmt w:val="bullet"/>
      <w:lvlText w:val=""/>
      <w:lvlJc w:val="left"/>
      <w:pPr>
        <w:ind w:left="5820" w:hanging="360"/>
      </w:pPr>
      <w:rPr>
        <w:rFonts w:ascii="Wingdings" w:hAnsi="Wingdings" w:hint="default"/>
      </w:rPr>
    </w:lvl>
    <w:lvl w:ilvl="6" w:tplc="14090001" w:tentative="1">
      <w:start w:val="1"/>
      <w:numFmt w:val="bullet"/>
      <w:lvlText w:val=""/>
      <w:lvlJc w:val="left"/>
      <w:pPr>
        <w:ind w:left="6540" w:hanging="360"/>
      </w:pPr>
      <w:rPr>
        <w:rFonts w:ascii="Symbol" w:hAnsi="Symbol" w:hint="default"/>
      </w:rPr>
    </w:lvl>
    <w:lvl w:ilvl="7" w:tplc="14090003" w:tentative="1">
      <w:start w:val="1"/>
      <w:numFmt w:val="bullet"/>
      <w:lvlText w:val="o"/>
      <w:lvlJc w:val="left"/>
      <w:pPr>
        <w:ind w:left="7260" w:hanging="360"/>
      </w:pPr>
      <w:rPr>
        <w:rFonts w:ascii="Courier New" w:hAnsi="Courier New" w:cs="Courier New" w:hint="default"/>
      </w:rPr>
    </w:lvl>
    <w:lvl w:ilvl="8" w:tplc="14090005" w:tentative="1">
      <w:start w:val="1"/>
      <w:numFmt w:val="bullet"/>
      <w:lvlText w:val=""/>
      <w:lvlJc w:val="left"/>
      <w:pPr>
        <w:ind w:left="7980" w:hanging="360"/>
      </w:pPr>
      <w:rPr>
        <w:rFonts w:ascii="Wingdings" w:hAnsi="Wingdings" w:hint="default"/>
      </w:rPr>
    </w:lvl>
  </w:abstractNum>
  <w:abstractNum w:abstractNumId="14" w15:restartNumberingAfterBreak="0">
    <w:nsid w:val="115110D2"/>
    <w:multiLevelType w:val="hybridMultilevel"/>
    <w:tmpl w:val="0F26A51E"/>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2832B84"/>
    <w:multiLevelType w:val="multilevel"/>
    <w:tmpl w:val="5B9E1C8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EF51B5B"/>
    <w:multiLevelType w:val="multilevel"/>
    <w:tmpl w:val="2B443C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034095A"/>
    <w:multiLevelType w:val="multilevel"/>
    <w:tmpl w:val="7794E598"/>
    <w:styleLink w:val="QuoteNums"/>
    <w:lvl w:ilvl="0">
      <w:start w:val="1"/>
      <w:numFmt w:val="decimal"/>
      <w:pStyle w:val="QuoteLev1"/>
      <w:lvlText w:val="%1."/>
      <w:lvlJc w:val="left"/>
      <w:pPr>
        <w:ind w:left="2160" w:hanging="720"/>
      </w:pPr>
      <w:rPr>
        <w:rFonts w:ascii="Verdana" w:hAnsi="Verdana" w:hint="default"/>
        <w:sz w:val="17"/>
      </w:rPr>
    </w:lvl>
    <w:lvl w:ilvl="1">
      <w:start w:val="1"/>
      <w:numFmt w:val="lowerLetter"/>
      <w:pStyle w:val="QuoteLev2"/>
      <w:lvlText w:val="(%2)"/>
      <w:lvlJc w:val="left"/>
      <w:pPr>
        <w:tabs>
          <w:tab w:val="num" w:pos="2160"/>
        </w:tabs>
        <w:ind w:left="2880" w:hanging="720"/>
      </w:pPr>
      <w:rPr>
        <w:rFonts w:ascii="Verdana" w:hAnsi="Verdana" w:hint="default"/>
        <w:sz w:val="17"/>
      </w:rPr>
    </w:lvl>
    <w:lvl w:ilvl="2">
      <w:start w:val="1"/>
      <w:numFmt w:val="lowerRoman"/>
      <w:pStyle w:val="QuoteLev3"/>
      <w:lvlText w:val="(%3)"/>
      <w:lvlJc w:val="left"/>
      <w:pPr>
        <w:ind w:left="3600" w:hanging="720"/>
      </w:pPr>
      <w:rPr>
        <w:rFonts w:ascii="Verdana" w:hAnsi="Verdana" w:hint="default"/>
        <w:sz w:val="17"/>
      </w:rPr>
    </w:lvl>
    <w:lvl w:ilvl="3">
      <w:start w:val="1"/>
      <w:numFmt w:val="none"/>
      <w:lvlText w:val=""/>
      <w:lvlJc w:val="left"/>
      <w:pPr>
        <w:ind w:left="2880" w:hanging="720"/>
      </w:pPr>
      <w:rPr>
        <w:rFonts w:ascii="Verdana" w:hAnsi="Verdana" w:hint="default"/>
        <w:sz w:val="19"/>
      </w:rPr>
    </w:lvl>
    <w:lvl w:ilvl="4">
      <w:start w:val="1"/>
      <w:numFmt w:val="none"/>
      <w:lvlText w:val=""/>
      <w:lvlJc w:val="left"/>
      <w:pPr>
        <w:ind w:left="3600" w:hanging="720"/>
      </w:pPr>
      <w:rPr>
        <w:rFonts w:ascii="Verdana" w:hAnsi="Verdana" w:hint="default"/>
        <w:sz w:val="19"/>
      </w:rPr>
    </w:lvl>
    <w:lvl w:ilvl="5">
      <w:start w:val="1"/>
      <w:numFmt w:val="none"/>
      <w:lvlText w:val=""/>
      <w:lvlJc w:val="left"/>
      <w:pPr>
        <w:ind w:left="4320" w:hanging="720"/>
      </w:pPr>
      <w:rPr>
        <w:rFonts w:ascii="Verdana" w:hAnsi="Verdana" w:hint="default"/>
        <w:sz w:val="19"/>
      </w:rPr>
    </w:lvl>
    <w:lvl w:ilvl="6">
      <w:start w:val="1"/>
      <w:numFmt w:val="none"/>
      <w:lvlText w:val=""/>
      <w:lvlJc w:val="left"/>
      <w:pPr>
        <w:ind w:left="5040" w:hanging="720"/>
      </w:pPr>
      <w:rPr>
        <w:rFonts w:ascii="Verdana" w:hAnsi="Verdana" w:hint="default"/>
        <w:sz w:val="19"/>
      </w:rPr>
    </w:lvl>
    <w:lvl w:ilvl="7">
      <w:start w:val="1"/>
      <w:numFmt w:val="none"/>
      <w:lvlText w:val=""/>
      <w:lvlJc w:val="left"/>
      <w:pPr>
        <w:ind w:left="5760" w:hanging="720"/>
      </w:pPr>
      <w:rPr>
        <w:rFonts w:ascii="Verdana" w:hAnsi="Verdana" w:hint="default"/>
        <w:sz w:val="19"/>
      </w:rPr>
    </w:lvl>
    <w:lvl w:ilvl="8">
      <w:start w:val="1"/>
      <w:numFmt w:val="none"/>
      <w:lvlText w:val=""/>
      <w:lvlJc w:val="left"/>
      <w:pPr>
        <w:ind w:left="6480" w:hanging="720"/>
      </w:pPr>
      <w:rPr>
        <w:rFonts w:ascii="Verdana" w:hAnsi="Verdana" w:hint="default"/>
        <w:sz w:val="19"/>
      </w:rPr>
    </w:lvl>
  </w:abstractNum>
  <w:abstractNum w:abstractNumId="18" w15:restartNumberingAfterBreak="0">
    <w:nsid w:val="3298344D"/>
    <w:multiLevelType w:val="multilevel"/>
    <w:tmpl w:val="5AC848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0DB54EF"/>
    <w:multiLevelType w:val="multilevel"/>
    <w:tmpl w:val="7794E598"/>
    <w:numStyleLink w:val="QuoteNums"/>
  </w:abstractNum>
  <w:abstractNum w:abstractNumId="20" w15:restartNumberingAfterBreak="0">
    <w:nsid w:val="47DE5188"/>
    <w:multiLevelType w:val="hybridMultilevel"/>
    <w:tmpl w:val="2AD8165C"/>
    <w:lvl w:ilvl="0" w:tplc="FFFFFFFF">
      <w:start w:val="1"/>
      <w:numFmt w:val="lowerLetter"/>
      <w:lvlText w:val="%1)"/>
      <w:lvlJc w:val="left"/>
      <w:pPr>
        <w:ind w:left="720" w:hanging="360"/>
      </w:pPr>
    </w:lvl>
    <w:lvl w:ilvl="1" w:tplc="3AF42D72">
      <w:start w:val="1"/>
      <w:numFmt w:val="lowerLetter"/>
      <w:lvlText w:val="%2)"/>
      <w:lvlJc w:val="left"/>
      <w:pPr>
        <w:ind w:left="1440" w:hanging="360"/>
      </w:pPr>
      <w:rPr>
        <w:rFonts w:ascii="Verdana" w:hAnsi="Verdana" w:hint="default"/>
        <w:sz w:val="17"/>
        <w:szCs w:val="17"/>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4B713D"/>
    <w:multiLevelType w:val="multilevel"/>
    <w:tmpl w:val="F66AC3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A872BCE"/>
    <w:multiLevelType w:val="multilevel"/>
    <w:tmpl w:val="9006BE3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C3C3EEB"/>
    <w:multiLevelType w:val="multilevel"/>
    <w:tmpl w:val="05C0DAC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5A16041"/>
    <w:multiLevelType w:val="multilevel"/>
    <w:tmpl w:val="B3B81A5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A3634EC"/>
    <w:multiLevelType w:val="multilevel"/>
    <w:tmpl w:val="104A222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56009174">
    <w:abstractNumId w:val="10"/>
  </w:num>
  <w:num w:numId="2" w16cid:durableId="324359903">
    <w:abstractNumId w:val="9"/>
  </w:num>
  <w:num w:numId="3" w16cid:durableId="115762127">
    <w:abstractNumId w:val="7"/>
  </w:num>
  <w:num w:numId="4" w16cid:durableId="1901864016">
    <w:abstractNumId w:val="6"/>
  </w:num>
  <w:num w:numId="5" w16cid:durableId="604001166">
    <w:abstractNumId w:val="5"/>
  </w:num>
  <w:num w:numId="6" w16cid:durableId="444006565">
    <w:abstractNumId w:val="4"/>
  </w:num>
  <w:num w:numId="7" w16cid:durableId="1566843247">
    <w:abstractNumId w:val="8"/>
  </w:num>
  <w:num w:numId="8" w16cid:durableId="1926722545">
    <w:abstractNumId w:val="3"/>
  </w:num>
  <w:num w:numId="9" w16cid:durableId="1800299905">
    <w:abstractNumId w:val="2"/>
  </w:num>
  <w:num w:numId="10" w16cid:durableId="307981781">
    <w:abstractNumId w:val="1"/>
  </w:num>
  <w:num w:numId="11" w16cid:durableId="916791989">
    <w:abstractNumId w:val="0"/>
  </w:num>
  <w:num w:numId="12" w16cid:durableId="2140025228">
    <w:abstractNumId w:val="17"/>
  </w:num>
  <w:num w:numId="13" w16cid:durableId="1165901285">
    <w:abstractNumId w:val="19"/>
  </w:num>
  <w:num w:numId="14" w16cid:durableId="1614941782">
    <w:abstractNumId w:val="21"/>
  </w:num>
  <w:num w:numId="15" w16cid:durableId="1031345464">
    <w:abstractNumId w:val="12"/>
  </w:num>
  <w:num w:numId="16" w16cid:durableId="975375212">
    <w:abstractNumId w:val="18"/>
  </w:num>
  <w:num w:numId="17" w16cid:durableId="1393235551">
    <w:abstractNumId w:val="16"/>
  </w:num>
  <w:num w:numId="18" w16cid:durableId="7100401">
    <w:abstractNumId w:val="25"/>
  </w:num>
  <w:num w:numId="19" w16cid:durableId="61369681">
    <w:abstractNumId w:val="24"/>
  </w:num>
  <w:num w:numId="20" w16cid:durableId="251857225">
    <w:abstractNumId w:val="22"/>
  </w:num>
  <w:num w:numId="21" w16cid:durableId="1687172048">
    <w:abstractNumId w:val="15"/>
  </w:num>
  <w:num w:numId="22" w16cid:durableId="1729449985">
    <w:abstractNumId w:val="11"/>
  </w:num>
  <w:num w:numId="23" w16cid:durableId="2082826386">
    <w:abstractNumId w:val="23"/>
  </w:num>
  <w:num w:numId="24" w16cid:durableId="131871400">
    <w:abstractNumId w:val="13"/>
  </w:num>
  <w:num w:numId="25" w16cid:durableId="154616631">
    <w:abstractNumId w:val="10"/>
  </w:num>
  <w:num w:numId="26" w16cid:durableId="1605528316">
    <w:abstractNumId w:val="14"/>
  </w:num>
  <w:num w:numId="27" w16cid:durableId="611472967">
    <w:abstractNumId w:val="20"/>
  </w:num>
  <w:num w:numId="28" w16cid:durableId="18815493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Type" w:val="High Crt"/>
    <w:docVar w:name="LineSpacStyle" w:val="1.5"/>
    <w:docVar w:name="numstyle" w:val="4"/>
    <w:docVar w:name="Numtype" w:val="Style15"/>
    <w:docVar w:name="SGFootnote" w:val="SGSetup"/>
    <w:docVar w:name="Title" w:val="SUBMISSION ON THE PROPOSED MARLBOROUGH ENVIRONMENT PLAN"/>
    <w:docVar w:name="TitleBar" w:val="High Court Document"/>
    <w:docVar w:name="WatermarkType" w:val="DraftVert"/>
    <w:docVar w:name="WordOperator" w:val="RHR"/>
  </w:docVars>
  <w:rsids>
    <w:rsidRoot w:val="0050020B"/>
    <w:rsid w:val="00000BEE"/>
    <w:rsid w:val="00001885"/>
    <w:rsid w:val="00001BB4"/>
    <w:rsid w:val="000032C1"/>
    <w:rsid w:val="00003B52"/>
    <w:rsid w:val="00005621"/>
    <w:rsid w:val="00005D58"/>
    <w:rsid w:val="0000638A"/>
    <w:rsid w:val="00007079"/>
    <w:rsid w:val="00007C82"/>
    <w:rsid w:val="00010AA1"/>
    <w:rsid w:val="0001349B"/>
    <w:rsid w:val="00013518"/>
    <w:rsid w:val="000144E3"/>
    <w:rsid w:val="00015442"/>
    <w:rsid w:val="00015BC0"/>
    <w:rsid w:val="00016641"/>
    <w:rsid w:val="00016996"/>
    <w:rsid w:val="00021944"/>
    <w:rsid w:val="000235FF"/>
    <w:rsid w:val="00024704"/>
    <w:rsid w:val="00025BA8"/>
    <w:rsid w:val="00026740"/>
    <w:rsid w:val="00026F66"/>
    <w:rsid w:val="0002705A"/>
    <w:rsid w:val="000272AC"/>
    <w:rsid w:val="00027A37"/>
    <w:rsid w:val="000301B1"/>
    <w:rsid w:val="00031A48"/>
    <w:rsid w:val="000336BE"/>
    <w:rsid w:val="0003384B"/>
    <w:rsid w:val="0003388E"/>
    <w:rsid w:val="00035152"/>
    <w:rsid w:val="0003584A"/>
    <w:rsid w:val="00036BE4"/>
    <w:rsid w:val="00036C9A"/>
    <w:rsid w:val="00037454"/>
    <w:rsid w:val="00037BCB"/>
    <w:rsid w:val="00040B36"/>
    <w:rsid w:val="00040F2F"/>
    <w:rsid w:val="000410DD"/>
    <w:rsid w:val="000443EB"/>
    <w:rsid w:val="00046D88"/>
    <w:rsid w:val="00046DF5"/>
    <w:rsid w:val="00046F4C"/>
    <w:rsid w:val="00047451"/>
    <w:rsid w:val="000478BD"/>
    <w:rsid w:val="00050445"/>
    <w:rsid w:val="0005141E"/>
    <w:rsid w:val="00051542"/>
    <w:rsid w:val="000534A9"/>
    <w:rsid w:val="0005376F"/>
    <w:rsid w:val="00053F17"/>
    <w:rsid w:val="00055B3D"/>
    <w:rsid w:val="000567DD"/>
    <w:rsid w:val="0005695E"/>
    <w:rsid w:val="0005775C"/>
    <w:rsid w:val="0006129C"/>
    <w:rsid w:val="000626BC"/>
    <w:rsid w:val="00063A55"/>
    <w:rsid w:val="00063AE6"/>
    <w:rsid w:val="00064E99"/>
    <w:rsid w:val="00065F70"/>
    <w:rsid w:val="00067768"/>
    <w:rsid w:val="0007029E"/>
    <w:rsid w:val="000714F2"/>
    <w:rsid w:val="00072D29"/>
    <w:rsid w:val="00072ED4"/>
    <w:rsid w:val="00073252"/>
    <w:rsid w:val="00073501"/>
    <w:rsid w:val="00075193"/>
    <w:rsid w:val="0007588D"/>
    <w:rsid w:val="0007675D"/>
    <w:rsid w:val="00080229"/>
    <w:rsid w:val="000805C3"/>
    <w:rsid w:val="00080CE6"/>
    <w:rsid w:val="000815D8"/>
    <w:rsid w:val="00082596"/>
    <w:rsid w:val="0008494B"/>
    <w:rsid w:val="000853A8"/>
    <w:rsid w:val="00085429"/>
    <w:rsid w:val="00086C87"/>
    <w:rsid w:val="000878CB"/>
    <w:rsid w:val="00087DB4"/>
    <w:rsid w:val="00087E3A"/>
    <w:rsid w:val="00091A10"/>
    <w:rsid w:val="00092FCE"/>
    <w:rsid w:val="0009309B"/>
    <w:rsid w:val="00093899"/>
    <w:rsid w:val="00095A8C"/>
    <w:rsid w:val="000A0E73"/>
    <w:rsid w:val="000A15EE"/>
    <w:rsid w:val="000A21AA"/>
    <w:rsid w:val="000A3A90"/>
    <w:rsid w:val="000A6F00"/>
    <w:rsid w:val="000A7635"/>
    <w:rsid w:val="000A771A"/>
    <w:rsid w:val="000A77C0"/>
    <w:rsid w:val="000A7EDE"/>
    <w:rsid w:val="000B025F"/>
    <w:rsid w:val="000B0D9A"/>
    <w:rsid w:val="000B1520"/>
    <w:rsid w:val="000B19E3"/>
    <w:rsid w:val="000B3107"/>
    <w:rsid w:val="000B3812"/>
    <w:rsid w:val="000B3FC7"/>
    <w:rsid w:val="000B5365"/>
    <w:rsid w:val="000B5673"/>
    <w:rsid w:val="000B5B37"/>
    <w:rsid w:val="000B6E84"/>
    <w:rsid w:val="000B71F9"/>
    <w:rsid w:val="000B7714"/>
    <w:rsid w:val="000C058B"/>
    <w:rsid w:val="000C1390"/>
    <w:rsid w:val="000C1C09"/>
    <w:rsid w:val="000C24A4"/>
    <w:rsid w:val="000C3281"/>
    <w:rsid w:val="000C4FB4"/>
    <w:rsid w:val="000C5C3C"/>
    <w:rsid w:val="000C6014"/>
    <w:rsid w:val="000C67EB"/>
    <w:rsid w:val="000C6B8A"/>
    <w:rsid w:val="000C78C5"/>
    <w:rsid w:val="000D210D"/>
    <w:rsid w:val="000D22E0"/>
    <w:rsid w:val="000D3A6A"/>
    <w:rsid w:val="000D3B0B"/>
    <w:rsid w:val="000D493A"/>
    <w:rsid w:val="000D5139"/>
    <w:rsid w:val="000E0A19"/>
    <w:rsid w:val="000E109E"/>
    <w:rsid w:val="000E1D63"/>
    <w:rsid w:val="000E28C1"/>
    <w:rsid w:val="000E3B8D"/>
    <w:rsid w:val="000E40C9"/>
    <w:rsid w:val="000E4333"/>
    <w:rsid w:val="000E4A78"/>
    <w:rsid w:val="000E5134"/>
    <w:rsid w:val="000E517C"/>
    <w:rsid w:val="000E57A2"/>
    <w:rsid w:val="000E64F8"/>
    <w:rsid w:val="000E6AFD"/>
    <w:rsid w:val="000E704B"/>
    <w:rsid w:val="000F009F"/>
    <w:rsid w:val="000F03BC"/>
    <w:rsid w:val="000F1626"/>
    <w:rsid w:val="000F2C4F"/>
    <w:rsid w:val="000F4679"/>
    <w:rsid w:val="000F532A"/>
    <w:rsid w:val="000F5689"/>
    <w:rsid w:val="000F56A6"/>
    <w:rsid w:val="000F58B6"/>
    <w:rsid w:val="000F6495"/>
    <w:rsid w:val="000F67E1"/>
    <w:rsid w:val="000F6F67"/>
    <w:rsid w:val="00101A03"/>
    <w:rsid w:val="00101C60"/>
    <w:rsid w:val="001036B6"/>
    <w:rsid w:val="001051D5"/>
    <w:rsid w:val="00105896"/>
    <w:rsid w:val="00105BC8"/>
    <w:rsid w:val="001060EB"/>
    <w:rsid w:val="001063CF"/>
    <w:rsid w:val="00106BF6"/>
    <w:rsid w:val="0010740B"/>
    <w:rsid w:val="00107CBC"/>
    <w:rsid w:val="0011017A"/>
    <w:rsid w:val="001101F3"/>
    <w:rsid w:val="001126E3"/>
    <w:rsid w:val="00112A6C"/>
    <w:rsid w:val="00112DD8"/>
    <w:rsid w:val="0011356B"/>
    <w:rsid w:val="00113A33"/>
    <w:rsid w:val="00115153"/>
    <w:rsid w:val="0011607C"/>
    <w:rsid w:val="00116945"/>
    <w:rsid w:val="00120F33"/>
    <w:rsid w:val="00121F14"/>
    <w:rsid w:val="00122523"/>
    <w:rsid w:val="001225A3"/>
    <w:rsid w:val="001228AD"/>
    <w:rsid w:val="00122F48"/>
    <w:rsid w:val="00124D64"/>
    <w:rsid w:val="0012576A"/>
    <w:rsid w:val="00125AEB"/>
    <w:rsid w:val="001270C8"/>
    <w:rsid w:val="00127562"/>
    <w:rsid w:val="00130660"/>
    <w:rsid w:val="0013268D"/>
    <w:rsid w:val="00133524"/>
    <w:rsid w:val="00133C65"/>
    <w:rsid w:val="0013514F"/>
    <w:rsid w:val="00135311"/>
    <w:rsid w:val="00136FA0"/>
    <w:rsid w:val="00137406"/>
    <w:rsid w:val="00140169"/>
    <w:rsid w:val="00141333"/>
    <w:rsid w:val="001427AC"/>
    <w:rsid w:val="00143099"/>
    <w:rsid w:val="001441AB"/>
    <w:rsid w:val="001444BA"/>
    <w:rsid w:val="00145371"/>
    <w:rsid w:val="0014599B"/>
    <w:rsid w:val="00145B70"/>
    <w:rsid w:val="00146269"/>
    <w:rsid w:val="001515B4"/>
    <w:rsid w:val="0015185A"/>
    <w:rsid w:val="00151C55"/>
    <w:rsid w:val="00152B33"/>
    <w:rsid w:val="00155495"/>
    <w:rsid w:val="00156354"/>
    <w:rsid w:val="00156516"/>
    <w:rsid w:val="0015752A"/>
    <w:rsid w:val="00161CB3"/>
    <w:rsid w:val="00162249"/>
    <w:rsid w:val="00163B83"/>
    <w:rsid w:val="00163C7E"/>
    <w:rsid w:val="00163FE1"/>
    <w:rsid w:val="00164664"/>
    <w:rsid w:val="001649D9"/>
    <w:rsid w:val="00164DC4"/>
    <w:rsid w:val="001675D7"/>
    <w:rsid w:val="00167695"/>
    <w:rsid w:val="00170590"/>
    <w:rsid w:val="00170A86"/>
    <w:rsid w:val="0017130B"/>
    <w:rsid w:val="001718FC"/>
    <w:rsid w:val="0017336F"/>
    <w:rsid w:val="001747B9"/>
    <w:rsid w:val="00174CC3"/>
    <w:rsid w:val="001775F4"/>
    <w:rsid w:val="00177773"/>
    <w:rsid w:val="00177799"/>
    <w:rsid w:val="00180297"/>
    <w:rsid w:val="00181490"/>
    <w:rsid w:val="00181D59"/>
    <w:rsid w:val="0018200C"/>
    <w:rsid w:val="00183AF3"/>
    <w:rsid w:val="00185D84"/>
    <w:rsid w:val="0018723A"/>
    <w:rsid w:val="00187B5F"/>
    <w:rsid w:val="00187BE6"/>
    <w:rsid w:val="001912B5"/>
    <w:rsid w:val="001914C3"/>
    <w:rsid w:val="00191C5A"/>
    <w:rsid w:val="0019312C"/>
    <w:rsid w:val="001947CB"/>
    <w:rsid w:val="0019483F"/>
    <w:rsid w:val="001949FE"/>
    <w:rsid w:val="00194EAC"/>
    <w:rsid w:val="0019685E"/>
    <w:rsid w:val="00196E5A"/>
    <w:rsid w:val="00197AE6"/>
    <w:rsid w:val="00197D14"/>
    <w:rsid w:val="001A0318"/>
    <w:rsid w:val="001A0EE6"/>
    <w:rsid w:val="001A14BD"/>
    <w:rsid w:val="001A3059"/>
    <w:rsid w:val="001A4646"/>
    <w:rsid w:val="001A6419"/>
    <w:rsid w:val="001A6CC8"/>
    <w:rsid w:val="001B0F12"/>
    <w:rsid w:val="001B14B9"/>
    <w:rsid w:val="001B5FAE"/>
    <w:rsid w:val="001B649D"/>
    <w:rsid w:val="001B668C"/>
    <w:rsid w:val="001B7600"/>
    <w:rsid w:val="001C09BB"/>
    <w:rsid w:val="001C1FD3"/>
    <w:rsid w:val="001C456D"/>
    <w:rsid w:val="001C4DDB"/>
    <w:rsid w:val="001C4EB3"/>
    <w:rsid w:val="001C5544"/>
    <w:rsid w:val="001C6604"/>
    <w:rsid w:val="001D0B46"/>
    <w:rsid w:val="001D1874"/>
    <w:rsid w:val="001D1C97"/>
    <w:rsid w:val="001D201F"/>
    <w:rsid w:val="001D3FEE"/>
    <w:rsid w:val="001D43FC"/>
    <w:rsid w:val="001D715D"/>
    <w:rsid w:val="001E0795"/>
    <w:rsid w:val="001E116A"/>
    <w:rsid w:val="001E32AA"/>
    <w:rsid w:val="001E48D8"/>
    <w:rsid w:val="001E4A88"/>
    <w:rsid w:val="001E50BE"/>
    <w:rsid w:val="001E75D3"/>
    <w:rsid w:val="001E76D9"/>
    <w:rsid w:val="001F0E7D"/>
    <w:rsid w:val="001F1028"/>
    <w:rsid w:val="001F2D19"/>
    <w:rsid w:val="001F42BF"/>
    <w:rsid w:val="001F5B60"/>
    <w:rsid w:val="001F68A4"/>
    <w:rsid w:val="00200CB1"/>
    <w:rsid w:val="00201A94"/>
    <w:rsid w:val="00202631"/>
    <w:rsid w:val="00202A00"/>
    <w:rsid w:val="002031FF"/>
    <w:rsid w:val="00203A3E"/>
    <w:rsid w:val="00203C8A"/>
    <w:rsid w:val="002111AE"/>
    <w:rsid w:val="00211376"/>
    <w:rsid w:val="002119C2"/>
    <w:rsid w:val="0021333A"/>
    <w:rsid w:val="002138E1"/>
    <w:rsid w:val="00213C5D"/>
    <w:rsid w:val="00214E48"/>
    <w:rsid w:val="00215206"/>
    <w:rsid w:val="00216DBB"/>
    <w:rsid w:val="00216E23"/>
    <w:rsid w:val="002204CD"/>
    <w:rsid w:val="002218AB"/>
    <w:rsid w:val="00221C68"/>
    <w:rsid w:val="00221CEF"/>
    <w:rsid w:val="00222C40"/>
    <w:rsid w:val="00223861"/>
    <w:rsid w:val="002238EF"/>
    <w:rsid w:val="0022399F"/>
    <w:rsid w:val="00223A0C"/>
    <w:rsid w:val="002249C7"/>
    <w:rsid w:val="002249DC"/>
    <w:rsid w:val="0022517C"/>
    <w:rsid w:val="00227560"/>
    <w:rsid w:val="00227934"/>
    <w:rsid w:val="00231EEB"/>
    <w:rsid w:val="002327C4"/>
    <w:rsid w:val="00232F26"/>
    <w:rsid w:val="002347FD"/>
    <w:rsid w:val="00234AB5"/>
    <w:rsid w:val="00234F70"/>
    <w:rsid w:val="0023592D"/>
    <w:rsid w:val="00236F5F"/>
    <w:rsid w:val="0023775D"/>
    <w:rsid w:val="00240468"/>
    <w:rsid w:val="00240F3D"/>
    <w:rsid w:val="00241753"/>
    <w:rsid w:val="00242CC6"/>
    <w:rsid w:val="00242EFC"/>
    <w:rsid w:val="00243315"/>
    <w:rsid w:val="00243417"/>
    <w:rsid w:val="002434F8"/>
    <w:rsid w:val="00243557"/>
    <w:rsid w:val="002435C8"/>
    <w:rsid w:val="00243907"/>
    <w:rsid w:val="00243BFD"/>
    <w:rsid w:val="0024453F"/>
    <w:rsid w:val="00245398"/>
    <w:rsid w:val="0024566B"/>
    <w:rsid w:val="00246F89"/>
    <w:rsid w:val="002472A1"/>
    <w:rsid w:val="0024772E"/>
    <w:rsid w:val="00247C99"/>
    <w:rsid w:val="0025031F"/>
    <w:rsid w:val="0025044F"/>
    <w:rsid w:val="00250F30"/>
    <w:rsid w:val="0025363B"/>
    <w:rsid w:val="002540EF"/>
    <w:rsid w:val="00254310"/>
    <w:rsid w:val="00254CA5"/>
    <w:rsid w:val="00257734"/>
    <w:rsid w:val="0026069E"/>
    <w:rsid w:val="00261686"/>
    <w:rsid w:val="00262F60"/>
    <w:rsid w:val="00263838"/>
    <w:rsid w:val="00264750"/>
    <w:rsid w:val="00264FDE"/>
    <w:rsid w:val="00267038"/>
    <w:rsid w:val="002674BD"/>
    <w:rsid w:val="00267D2F"/>
    <w:rsid w:val="002706C5"/>
    <w:rsid w:val="00272442"/>
    <w:rsid w:val="00272470"/>
    <w:rsid w:val="00272C5D"/>
    <w:rsid w:val="00274192"/>
    <w:rsid w:val="0027438A"/>
    <w:rsid w:val="00274622"/>
    <w:rsid w:val="00276215"/>
    <w:rsid w:val="0027624F"/>
    <w:rsid w:val="00276C1C"/>
    <w:rsid w:val="00276EB5"/>
    <w:rsid w:val="00280A2F"/>
    <w:rsid w:val="00282B94"/>
    <w:rsid w:val="0028334E"/>
    <w:rsid w:val="002833B7"/>
    <w:rsid w:val="00283401"/>
    <w:rsid w:val="00283812"/>
    <w:rsid w:val="00285195"/>
    <w:rsid w:val="00285291"/>
    <w:rsid w:val="002875BD"/>
    <w:rsid w:val="00287F27"/>
    <w:rsid w:val="00290B14"/>
    <w:rsid w:val="00291254"/>
    <w:rsid w:val="00291C8C"/>
    <w:rsid w:val="00292681"/>
    <w:rsid w:val="00292AA0"/>
    <w:rsid w:val="00292F10"/>
    <w:rsid w:val="002936E6"/>
    <w:rsid w:val="00293ECC"/>
    <w:rsid w:val="002967F1"/>
    <w:rsid w:val="002968C5"/>
    <w:rsid w:val="00297925"/>
    <w:rsid w:val="002A3430"/>
    <w:rsid w:val="002A4199"/>
    <w:rsid w:val="002A46FF"/>
    <w:rsid w:val="002A5285"/>
    <w:rsid w:val="002A63DE"/>
    <w:rsid w:val="002A6EE7"/>
    <w:rsid w:val="002A7D80"/>
    <w:rsid w:val="002B02B3"/>
    <w:rsid w:val="002B03E7"/>
    <w:rsid w:val="002B0678"/>
    <w:rsid w:val="002B091C"/>
    <w:rsid w:val="002B507E"/>
    <w:rsid w:val="002B5257"/>
    <w:rsid w:val="002B5B05"/>
    <w:rsid w:val="002B5D45"/>
    <w:rsid w:val="002B6065"/>
    <w:rsid w:val="002B76A1"/>
    <w:rsid w:val="002C2294"/>
    <w:rsid w:val="002C3753"/>
    <w:rsid w:val="002C3C44"/>
    <w:rsid w:val="002C3EC0"/>
    <w:rsid w:val="002C4636"/>
    <w:rsid w:val="002C4C49"/>
    <w:rsid w:val="002C5680"/>
    <w:rsid w:val="002C692D"/>
    <w:rsid w:val="002C6C71"/>
    <w:rsid w:val="002C6E4F"/>
    <w:rsid w:val="002D0100"/>
    <w:rsid w:val="002D04C1"/>
    <w:rsid w:val="002D06A2"/>
    <w:rsid w:val="002D07D3"/>
    <w:rsid w:val="002D15CC"/>
    <w:rsid w:val="002D292A"/>
    <w:rsid w:val="002D30EF"/>
    <w:rsid w:val="002D5BF7"/>
    <w:rsid w:val="002D6023"/>
    <w:rsid w:val="002D6743"/>
    <w:rsid w:val="002D7542"/>
    <w:rsid w:val="002E2261"/>
    <w:rsid w:val="002E2556"/>
    <w:rsid w:val="002E25A5"/>
    <w:rsid w:val="002E296E"/>
    <w:rsid w:val="002E2D1F"/>
    <w:rsid w:val="002E581F"/>
    <w:rsid w:val="002E5E83"/>
    <w:rsid w:val="002E6C29"/>
    <w:rsid w:val="002E6C97"/>
    <w:rsid w:val="002E6E00"/>
    <w:rsid w:val="002E6F3E"/>
    <w:rsid w:val="002E7638"/>
    <w:rsid w:val="002E7C27"/>
    <w:rsid w:val="002E7FE1"/>
    <w:rsid w:val="002F13DF"/>
    <w:rsid w:val="002F196D"/>
    <w:rsid w:val="002F2290"/>
    <w:rsid w:val="002F2608"/>
    <w:rsid w:val="002F2C42"/>
    <w:rsid w:val="002F3836"/>
    <w:rsid w:val="002F3E27"/>
    <w:rsid w:val="002F5257"/>
    <w:rsid w:val="002F52F1"/>
    <w:rsid w:val="002F59AC"/>
    <w:rsid w:val="002F65CC"/>
    <w:rsid w:val="002F75C5"/>
    <w:rsid w:val="00300849"/>
    <w:rsid w:val="0030175B"/>
    <w:rsid w:val="003020BB"/>
    <w:rsid w:val="00305BC7"/>
    <w:rsid w:val="00305C2E"/>
    <w:rsid w:val="00305E20"/>
    <w:rsid w:val="003061B3"/>
    <w:rsid w:val="0030639D"/>
    <w:rsid w:val="003072BA"/>
    <w:rsid w:val="00307A38"/>
    <w:rsid w:val="003135B6"/>
    <w:rsid w:val="0031436D"/>
    <w:rsid w:val="00316316"/>
    <w:rsid w:val="00316353"/>
    <w:rsid w:val="00316B95"/>
    <w:rsid w:val="0031797C"/>
    <w:rsid w:val="003206FF"/>
    <w:rsid w:val="0032189F"/>
    <w:rsid w:val="00321964"/>
    <w:rsid w:val="003224EA"/>
    <w:rsid w:val="003235EB"/>
    <w:rsid w:val="003242E2"/>
    <w:rsid w:val="003253AF"/>
    <w:rsid w:val="003258BC"/>
    <w:rsid w:val="00326347"/>
    <w:rsid w:val="0032686B"/>
    <w:rsid w:val="00326F6C"/>
    <w:rsid w:val="00327B2D"/>
    <w:rsid w:val="00330374"/>
    <w:rsid w:val="00331B8C"/>
    <w:rsid w:val="003331C2"/>
    <w:rsid w:val="003350C9"/>
    <w:rsid w:val="00335BC7"/>
    <w:rsid w:val="003362D0"/>
    <w:rsid w:val="00336368"/>
    <w:rsid w:val="00337F0C"/>
    <w:rsid w:val="00340761"/>
    <w:rsid w:val="00340CB2"/>
    <w:rsid w:val="00340EE3"/>
    <w:rsid w:val="00341B01"/>
    <w:rsid w:val="003421C3"/>
    <w:rsid w:val="00342ADA"/>
    <w:rsid w:val="00343D6E"/>
    <w:rsid w:val="00344944"/>
    <w:rsid w:val="003453F7"/>
    <w:rsid w:val="00345445"/>
    <w:rsid w:val="0034602B"/>
    <w:rsid w:val="003479A8"/>
    <w:rsid w:val="0035024A"/>
    <w:rsid w:val="0035170A"/>
    <w:rsid w:val="00353BAC"/>
    <w:rsid w:val="00354B86"/>
    <w:rsid w:val="003562F2"/>
    <w:rsid w:val="003571DE"/>
    <w:rsid w:val="0036023A"/>
    <w:rsid w:val="00361430"/>
    <w:rsid w:val="0036144C"/>
    <w:rsid w:val="00362B7B"/>
    <w:rsid w:val="00364FFE"/>
    <w:rsid w:val="003665A2"/>
    <w:rsid w:val="003671BA"/>
    <w:rsid w:val="003671E6"/>
    <w:rsid w:val="00367E50"/>
    <w:rsid w:val="0037004F"/>
    <w:rsid w:val="00370A2D"/>
    <w:rsid w:val="0037103F"/>
    <w:rsid w:val="003712CC"/>
    <w:rsid w:val="00371689"/>
    <w:rsid w:val="00371D21"/>
    <w:rsid w:val="00376438"/>
    <w:rsid w:val="00376865"/>
    <w:rsid w:val="00380462"/>
    <w:rsid w:val="0038058F"/>
    <w:rsid w:val="00381E19"/>
    <w:rsid w:val="0038364E"/>
    <w:rsid w:val="003839E1"/>
    <w:rsid w:val="0038483C"/>
    <w:rsid w:val="00385EEC"/>
    <w:rsid w:val="003860B3"/>
    <w:rsid w:val="003914E0"/>
    <w:rsid w:val="0039335B"/>
    <w:rsid w:val="00393BB6"/>
    <w:rsid w:val="00394894"/>
    <w:rsid w:val="00394EFC"/>
    <w:rsid w:val="003A08E2"/>
    <w:rsid w:val="003A230B"/>
    <w:rsid w:val="003A2A54"/>
    <w:rsid w:val="003A3C8D"/>
    <w:rsid w:val="003A486D"/>
    <w:rsid w:val="003A506D"/>
    <w:rsid w:val="003A6AA0"/>
    <w:rsid w:val="003A740E"/>
    <w:rsid w:val="003B01E1"/>
    <w:rsid w:val="003B05D7"/>
    <w:rsid w:val="003B1257"/>
    <w:rsid w:val="003B22B8"/>
    <w:rsid w:val="003B6D26"/>
    <w:rsid w:val="003B7568"/>
    <w:rsid w:val="003B76FF"/>
    <w:rsid w:val="003C0549"/>
    <w:rsid w:val="003C08DC"/>
    <w:rsid w:val="003C1AB1"/>
    <w:rsid w:val="003C3B95"/>
    <w:rsid w:val="003C3BF0"/>
    <w:rsid w:val="003C42FC"/>
    <w:rsid w:val="003C4489"/>
    <w:rsid w:val="003C49CF"/>
    <w:rsid w:val="003C4D9F"/>
    <w:rsid w:val="003C50F2"/>
    <w:rsid w:val="003C55AE"/>
    <w:rsid w:val="003C667B"/>
    <w:rsid w:val="003C76B9"/>
    <w:rsid w:val="003D0C85"/>
    <w:rsid w:val="003D1994"/>
    <w:rsid w:val="003D3510"/>
    <w:rsid w:val="003D4000"/>
    <w:rsid w:val="003D4E69"/>
    <w:rsid w:val="003D5602"/>
    <w:rsid w:val="003D577E"/>
    <w:rsid w:val="003D7098"/>
    <w:rsid w:val="003D7C2B"/>
    <w:rsid w:val="003D7E6D"/>
    <w:rsid w:val="003E0C68"/>
    <w:rsid w:val="003E1099"/>
    <w:rsid w:val="003E1409"/>
    <w:rsid w:val="003E24F4"/>
    <w:rsid w:val="003E3DC0"/>
    <w:rsid w:val="003E49F5"/>
    <w:rsid w:val="003E4C95"/>
    <w:rsid w:val="003E4DB1"/>
    <w:rsid w:val="003E660D"/>
    <w:rsid w:val="003E691D"/>
    <w:rsid w:val="003E75C0"/>
    <w:rsid w:val="003F0F78"/>
    <w:rsid w:val="003F133B"/>
    <w:rsid w:val="003F1F54"/>
    <w:rsid w:val="003F2DB8"/>
    <w:rsid w:val="003F332E"/>
    <w:rsid w:val="003F4175"/>
    <w:rsid w:val="003F4756"/>
    <w:rsid w:val="003F6142"/>
    <w:rsid w:val="003F6AD0"/>
    <w:rsid w:val="003F6B8A"/>
    <w:rsid w:val="003F794C"/>
    <w:rsid w:val="00400054"/>
    <w:rsid w:val="00400373"/>
    <w:rsid w:val="00400AFA"/>
    <w:rsid w:val="00400D2C"/>
    <w:rsid w:val="00402A6A"/>
    <w:rsid w:val="00402BF7"/>
    <w:rsid w:val="004042CC"/>
    <w:rsid w:val="004043A1"/>
    <w:rsid w:val="004054A7"/>
    <w:rsid w:val="00405B13"/>
    <w:rsid w:val="00405D76"/>
    <w:rsid w:val="00405E3A"/>
    <w:rsid w:val="00406A2A"/>
    <w:rsid w:val="00410B27"/>
    <w:rsid w:val="0041134A"/>
    <w:rsid w:val="00411B6E"/>
    <w:rsid w:val="004120FB"/>
    <w:rsid w:val="00412758"/>
    <w:rsid w:val="004129CF"/>
    <w:rsid w:val="004133EE"/>
    <w:rsid w:val="004148DB"/>
    <w:rsid w:val="00414B62"/>
    <w:rsid w:val="00414CAB"/>
    <w:rsid w:val="004150A8"/>
    <w:rsid w:val="004159AC"/>
    <w:rsid w:val="00415EE2"/>
    <w:rsid w:val="004170F6"/>
    <w:rsid w:val="00421BD5"/>
    <w:rsid w:val="00422747"/>
    <w:rsid w:val="00423A53"/>
    <w:rsid w:val="00424433"/>
    <w:rsid w:val="0042499D"/>
    <w:rsid w:val="0042696E"/>
    <w:rsid w:val="00430D56"/>
    <w:rsid w:val="00430F8F"/>
    <w:rsid w:val="0043122E"/>
    <w:rsid w:val="00431770"/>
    <w:rsid w:val="0043305C"/>
    <w:rsid w:val="004339DE"/>
    <w:rsid w:val="004354B9"/>
    <w:rsid w:val="00435AB4"/>
    <w:rsid w:val="00436DD3"/>
    <w:rsid w:val="00436F90"/>
    <w:rsid w:val="00437DF3"/>
    <w:rsid w:val="00440547"/>
    <w:rsid w:val="004406F4"/>
    <w:rsid w:val="004416CD"/>
    <w:rsid w:val="00441CAE"/>
    <w:rsid w:val="00442132"/>
    <w:rsid w:val="004421FE"/>
    <w:rsid w:val="00444320"/>
    <w:rsid w:val="0044481E"/>
    <w:rsid w:val="0044581C"/>
    <w:rsid w:val="00445F2F"/>
    <w:rsid w:val="0044611B"/>
    <w:rsid w:val="00447987"/>
    <w:rsid w:val="0045050E"/>
    <w:rsid w:val="00451F25"/>
    <w:rsid w:val="004536D8"/>
    <w:rsid w:val="00454C92"/>
    <w:rsid w:val="00455899"/>
    <w:rsid w:val="00455CBF"/>
    <w:rsid w:val="00456878"/>
    <w:rsid w:val="00460DD8"/>
    <w:rsid w:val="00461042"/>
    <w:rsid w:val="00463BFE"/>
    <w:rsid w:val="00465091"/>
    <w:rsid w:val="00466EC5"/>
    <w:rsid w:val="00466EE6"/>
    <w:rsid w:val="00467978"/>
    <w:rsid w:val="00470326"/>
    <w:rsid w:val="004719E8"/>
    <w:rsid w:val="00471A35"/>
    <w:rsid w:val="00473629"/>
    <w:rsid w:val="00474593"/>
    <w:rsid w:val="00475C41"/>
    <w:rsid w:val="00477400"/>
    <w:rsid w:val="00477460"/>
    <w:rsid w:val="00477964"/>
    <w:rsid w:val="0048015F"/>
    <w:rsid w:val="004801B8"/>
    <w:rsid w:val="00480432"/>
    <w:rsid w:val="00480798"/>
    <w:rsid w:val="00480D29"/>
    <w:rsid w:val="00483EEC"/>
    <w:rsid w:val="00485FE3"/>
    <w:rsid w:val="004865BF"/>
    <w:rsid w:val="00486D42"/>
    <w:rsid w:val="00490113"/>
    <w:rsid w:val="004930C8"/>
    <w:rsid w:val="00493ADA"/>
    <w:rsid w:val="00495389"/>
    <w:rsid w:val="004957C9"/>
    <w:rsid w:val="00495F1F"/>
    <w:rsid w:val="00496EE2"/>
    <w:rsid w:val="0049741A"/>
    <w:rsid w:val="00497903"/>
    <w:rsid w:val="004A06EC"/>
    <w:rsid w:val="004A0C78"/>
    <w:rsid w:val="004A0FAD"/>
    <w:rsid w:val="004A205B"/>
    <w:rsid w:val="004A271F"/>
    <w:rsid w:val="004A2A3E"/>
    <w:rsid w:val="004A5755"/>
    <w:rsid w:val="004A5BFF"/>
    <w:rsid w:val="004A5DC0"/>
    <w:rsid w:val="004A6877"/>
    <w:rsid w:val="004A7885"/>
    <w:rsid w:val="004B06B5"/>
    <w:rsid w:val="004B2499"/>
    <w:rsid w:val="004B2D78"/>
    <w:rsid w:val="004B48CC"/>
    <w:rsid w:val="004B4902"/>
    <w:rsid w:val="004B58C9"/>
    <w:rsid w:val="004B6409"/>
    <w:rsid w:val="004B6C9A"/>
    <w:rsid w:val="004B6DB0"/>
    <w:rsid w:val="004B7EE4"/>
    <w:rsid w:val="004C011E"/>
    <w:rsid w:val="004C0950"/>
    <w:rsid w:val="004C28C8"/>
    <w:rsid w:val="004C28F3"/>
    <w:rsid w:val="004C31B5"/>
    <w:rsid w:val="004C3A90"/>
    <w:rsid w:val="004C4DD4"/>
    <w:rsid w:val="004C54D8"/>
    <w:rsid w:val="004C5782"/>
    <w:rsid w:val="004C63C8"/>
    <w:rsid w:val="004C6880"/>
    <w:rsid w:val="004C702B"/>
    <w:rsid w:val="004C7275"/>
    <w:rsid w:val="004D076A"/>
    <w:rsid w:val="004D2A98"/>
    <w:rsid w:val="004D3035"/>
    <w:rsid w:val="004D4C54"/>
    <w:rsid w:val="004D5118"/>
    <w:rsid w:val="004D5BEE"/>
    <w:rsid w:val="004D6AB6"/>
    <w:rsid w:val="004D7FCD"/>
    <w:rsid w:val="004E092E"/>
    <w:rsid w:val="004E0B07"/>
    <w:rsid w:val="004E1BB9"/>
    <w:rsid w:val="004E1C45"/>
    <w:rsid w:val="004E3889"/>
    <w:rsid w:val="004E39F3"/>
    <w:rsid w:val="004E4561"/>
    <w:rsid w:val="004E7B76"/>
    <w:rsid w:val="004F03BA"/>
    <w:rsid w:val="004F066D"/>
    <w:rsid w:val="004F0913"/>
    <w:rsid w:val="004F0D03"/>
    <w:rsid w:val="004F1D16"/>
    <w:rsid w:val="004F2871"/>
    <w:rsid w:val="004F3797"/>
    <w:rsid w:val="004F3DE5"/>
    <w:rsid w:val="004F3FFC"/>
    <w:rsid w:val="004F47C9"/>
    <w:rsid w:val="004F6092"/>
    <w:rsid w:val="004F6C08"/>
    <w:rsid w:val="004F7B94"/>
    <w:rsid w:val="0050020B"/>
    <w:rsid w:val="00501745"/>
    <w:rsid w:val="005022C1"/>
    <w:rsid w:val="00502B95"/>
    <w:rsid w:val="005052AC"/>
    <w:rsid w:val="0050558B"/>
    <w:rsid w:val="005057B0"/>
    <w:rsid w:val="0050728D"/>
    <w:rsid w:val="0050789C"/>
    <w:rsid w:val="00510428"/>
    <w:rsid w:val="0051064C"/>
    <w:rsid w:val="00511B56"/>
    <w:rsid w:val="00512430"/>
    <w:rsid w:val="00513ECA"/>
    <w:rsid w:val="005141E5"/>
    <w:rsid w:val="005148D3"/>
    <w:rsid w:val="005150DE"/>
    <w:rsid w:val="005158B8"/>
    <w:rsid w:val="00516785"/>
    <w:rsid w:val="00516AF3"/>
    <w:rsid w:val="005171BC"/>
    <w:rsid w:val="005218A3"/>
    <w:rsid w:val="005218DA"/>
    <w:rsid w:val="00522117"/>
    <w:rsid w:val="00522548"/>
    <w:rsid w:val="00522BB5"/>
    <w:rsid w:val="00522D34"/>
    <w:rsid w:val="0052312E"/>
    <w:rsid w:val="0052365C"/>
    <w:rsid w:val="00523FEB"/>
    <w:rsid w:val="00525A47"/>
    <w:rsid w:val="005262C0"/>
    <w:rsid w:val="005271E7"/>
    <w:rsid w:val="00531B90"/>
    <w:rsid w:val="00532065"/>
    <w:rsid w:val="00533329"/>
    <w:rsid w:val="00534343"/>
    <w:rsid w:val="00534D6E"/>
    <w:rsid w:val="00535C95"/>
    <w:rsid w:val="0053686F"/>
    <w:rsid w:val="00536A78"/>
    <w:rsid w:val="00536B79"/>
    <w:rsid w:val="00536EC2"/>
    <w:rsid w:val="005376B8"/>
    <w:rsid w:val="0053770E"/>
    <w:rsid w:val="00541B9C"/>
    <w:rsid w:val="00542AA5"/>
    <w:rsid w:val="00543763"/>
    <w:rsid w:val="00544E2C"/>
    <w:rsid w:val="005451EB"/>
    <w:rsid w:val="00545392"/>
    <w:rsid w:val="00545CA2"/>
    <w:rsid w:val="00545D10"/>
    <w:rsid w:val="005463A0"/>
    <w:rsid w:val="00546DAA"/>
    <w:rsid w:val="00546EE6"/>
    <w:rsid w:val="00547FFC"/>
    <w:rsid w:val="005507B3"/>
    <w:rsid w:val="00550AD5"/>
    <w:rsid w:val="0055366A"/>
    <w:rsid w:val="00553920"/>
    <w:rsid w:val="00555FE6"/>
    <w:rsid w:val="005574E5"/>
    <w:rsid w:val="00557567"/>
    <w:rsid w:val="00557B7A"/>
    <w:rsid w:val="00557F43"/>
    <w:rsid w:val="00560601"/>
    <w:rsid w:val="005606C6"/>
    <w:rsid w:val="00562905"/>
    <w:rsid w:val="00562993"/>
    <w:rsid w:val="005638E3"/>
    <w:rsid w:val="00563B76"/>
    <w:rsid w:val="00563CCC"/>
    <w:rsid w:val="00563D30"/>
    <w:rsid w:val="00566A09"/>
    <w:rsid w:val="00566AFA"/>
    <w:rsid w:val="00566E39"/>
    <w:rsid w:val="005717CC"/>
    <w:rsid w:val="00571C8B"/>
    <w:rsid w:val="00571EE8"/>
    <w:rsid w:val="0057201B"/>
    <w:rsid w:val="00574246"/>
    <w:rsid w:val="0057432A"/>
    <w:rsid w:val="00574C23"/>
    <w:rsid w:val="005751AA"/>
    <w:rsid w:val="005754F2"/>
    <w:rsid w:val="00575965"/>
    <w:rsid w:val="00575BAD"/>
    <w:rsid w:val="005772AC"/>
    <w:rsid w:val="00577B85"/>
    <w:rsid w:val="005809CA"/>
    <w:rsid w:val="005823AA"/>
    <w:rsid w:val="0058276D"/>
    <w:rsid w:val="00582B4A"/>
    <w:rsid w:val="00582EE0"/>
    <w:rsid w:val="0058650E"/>
    <w:rsid w:val="005867B0"/>
    <w:rsid w:val="0058742F"/>
    <w:rsid w:val="00587486"/>
    <w:rsid w:val="00587B31"/>
    <w:rsid w:val="00587C74"/>
    <w:rsid w:val="00590510"/>
    <w:rsid w:val="00590E7F"/>
    <w:rsid w:val="00592D3B"/>
    <w:rsid w:val="00595762"/>
    <w:rsid w:val="00595D02"/>
    <w:rsid w:val="00595D77"/>
    <w:rsid w:val="00596D07"/>
    <w:rsid w:val="005971BA"/>
    <w:rsid w:val="005A054D"/>
    <w:rsid w:val="005A0FB7"/>
    <w:rsid w:val="005A10DF"/>
    <w:rsid w:val="005A1FDA"/>
    <w:rsid w:val="005A29F7"/>
    <w:rsid w:val="005A2C02"/>
    <w:rsid w:val="005A6092"/>
    <w:rsid w:val="005A65CC"/>
    <w:rsid w:val="005A6F00"/>
    <w:rsid w:val="005A6F55"/>
    <w:rsid w:val="005A77B4"/>
    <w:rsid w:val="005A786C"/>
    <w:rsid w:val="005B004F"/>
    <w:rsid w:val="005B031F"/>
    <w:rsid w:val="005B061C"/>
    <w:rsid w:val="005B0D5F"/>
    <w:rsid w:val="005B205C"/>
    <w:rsid w:val="005B29E1"/>
    <w:rsid w:val="005B2CFB"/>
    <w:rsid w:val="005B37B4"/>
    <w:rsid w:val="005B4299"/>
    <w:rsid w:val="005B4DCE"/>
    <w:rsid w:val="005B53BC"/>
    <w:rsid w:val="005B5D1F"/>
    <w:rsid w:val="005B6D17"/>
    <w:rsid w:val="005B7838"/>
    <w:rsid w:val="005C090A"/>
    <w:rsid w:val="005C0DF6"/>
    <w:rsid w:val="005C1184"/>
    <w:rsid w:val="005C162B"/>
    <w:rsid w:val="005C2EE5"/>
    <w:rsid w:val="005C3BD0"/>
    <w:rsid w:val="005C4902"/>
    <w:rsid w:val="005C519C"/>
    <w:rsid w:val="005C5848"/>
    <w:rsid w:val="005C7BDE"/>
    <w:rsid w:val="005C7C50"/>
    <w:rsid w:val="005D0112"/>
    <w:rsid w:val="005D290E"/>
    <w:rsid w:val="005D38E8"/>
    <w:rsid w:val="005D61EA"/>
    <w:rsid w:val="005D6B82"/>
    <w:rsid w:val="005D734E"/>
    <w:rsid w:val="005D74F1"/>
    <w:rsid w:val="005E0C45"/>
    <w:rsid w:val="005E1020"/>
    <w:rsid w:val="005E14F2"/>
    <w:rsid w:val="005E4355"/>
    <w:rsid w:val="005E4BB0"/>
    <w:rsid w:val="005E5A3A"/>
    <w:rsid w:val="005E6B44"/>
    <w:rsid w:val="005E7E95"/>
    <w:rsid w:val="005F0CB5"/>
    <w:rsid w:val="005F1622"/>
    <w:rsid w:val="005F1A5F"/>
    <w:rsid w:val="005F2646"/>
    <w:rsid w:val="005F3195"/>
    <w:rsid w:val="005F4376"/>
    <w:rsid w:val="005F56A5"/>
    <w:rsid w:val="006006E4"/>
    <w:rsid w:val="0060080A"/>
    <w:rsid w:val="00601120"/>
    <w:rsid w:val="00601402"/>
    <w:rsid w:val="006017F9"/>
    <w:rsid w:val="00601FB7"/>
    <w:rsid w:val="00602166"/>
    <w:rsid w:val="00603655"/>
    <w:rsid w:val="00603881"/>
    <w:rsid w:val="00603A2F"/>
    <w:rsid w:val="00603EA7"/>
    <w:rsid w:val="006062EF"/>
    <w:rsid w:val="00610A9D"/>
    <w:rsid w:val="0061243A"/>
    <w:rsid w:val="00612941"/>
    <w:rsid w:val="0061523D"/>
    <w:rsid w:val="00616A87"/>
    <w:rsid w:val="00617358"/>
    <w:rsid w:val="00620F0C"/>
    <w:rsid w:val="006215C5"/>
    <w:rsid w:val="00621678"/>
    <w:rsid w:val="00621E56"/>
    <w:rsid w:val="00622B8C"/>
    <w:rsid w:val="006234AA"/>
    <w:rsid w:val="00623610"/>
    <w:rsid w:val="00626A5B"/>
    <w:rsid w:val="006273FD"/>
    <w:rsid w:val="006303E5"/>
    <w:rsid w:val="006308EA"/>
    <w:rsid w:val="0063105F"/>
    <w:rsid w:val="00631C9D"/>
    <w:rsid w:val="00633706"/>
    <w:rsid w:val="00634EBD"/>
    <w:rsid w:val="0063622E"/>
    <w:rsid w:val="00636827"/>
    <w:rsid w:val="00640951"/>
    <w:rsid w:val="006417DE"/>
    <w:rsid w:val="006419FC"/>
    <w:rsid w:val="00643BC6"/>
    <w:rsid w:val="00644615"/>
    <w:rsid w:val="00644B75"/>
    <w:rsid w:val="006455AA"/>
    <w:rsid w:val="00645723"/>
    <w:rsid w:val="0064580C"/>
    <w:rsid w:val="0064673F"/>
    <w:rsid w:val="00646CA1"/>
    <w:rsid w:val="00652FDB"/>
    <w:rsid w:val="00654640"/>
    <w:rsid w:val="006566ED"/>
    <w:rsid w:val="00656A8C"/>
    <w:rsid w:val="00656B8C"/>
    <w:rsid w:val="00657D25"/>
    <w:rsid w:val="006604D7"/>
    <w:rsid w:val="00661439"/>
    <w:rsid w:val="00661C4B"/>
    <w:rsid w:val="00661F7B"/>
    <w:rsid w:val="00662141"/>
    <w:rsid w:val="00663ADE"/>
    <w:rsid w:val="006645AA"/>
    <w:rsid w:val="006658B1"/>
    <w:rsid w:val="006677F9"/>
    <w:rsid w:val="00670F41"/>
    <w:rsid w:val="00672532"/>
    <w:rsid w:val="006728E1"/>
    <w:rsid w:val="00674731"/>
    <w:rsid w:val="0067490E"/>
    <w:rsid w:val="00675154"/>
    <w:rsid w:val="0067586F"/>
    <w:rsid w:val="00677D94"/>
    <w:rsid w:val="006850E3"/>
    <w:rsid w:val="00685937"/>
    <w:rsid w:val="006862A9"/>
    <w:rsid w:val="00686CD9"/>
    <w:rsid w:val="00687A4E"/>
    <w:rsid w:val="0069041D"/>
    <w:rsid w:val="00690FCA"/>
    <w:rsid w:val="0069114E"/>
    <w:rsid w:val="006913BE"/>
    <w:rsid w:val="00692283"/>
    <w:rsid w:val="00695082"/>
    <w:rsid w:val="00696F7B"/>
    <w:rsid w:val="00697507"/>
    <w:rsid w:val="006A0230"/>
    <w:rsid w:val="006A11C4"/>
    <w:rsid w:val="006A1B3D"/>
    <w:rsid w:val="006A22FC"/>
    <w:rsid w:val="006A2CC3"/>
    <w:rsid w:val="006A3349"/>
    <w:rsid w:val="006A43B1"/>
    <w:rsid w:val="006A53EB"/>
    <w:rsid w:val="006A56B1"/>
    <w:rsid w:val="006A60BF"/>
    <w:rsid w:val="006A7F4F"/>
    <w:rsid w:val="006B002D"/>
    <w:rsid w:val="006B02A8"/>
    <w:rsid w:val="006B03BA"/>
    <w:rsid w:val="006B167C"/>
    <w:rsid w:val="006B2140"/>
    <w:rsid w:val="006B3ACD"/>
    <w:rsid w:val="006B40A1"/>
    <w:rsid w:val="006B4B1D"/>
    <w:rsid w:val="006B4F15"/>
    <w:rsid w:val="006C09BE"/>
    <w:rsid w:val="006C10ED"/>
    <w:rsid w:val="006C15EC"/>
    <w:rsid w:val="006C2AAC"/>
    <w:rsid w:val="006C3AAE"/>
    <w:rsid w:val="006C4402"/>
    <w:rsid w:val="006C711D"/>
    <w:rsid w:val="006C79B8"/>
    <w:rsid w:val="006D0916"/>
    <w:rsid w:val="006D0DAD"/>
    <w:rsid w:val="006D0E60"/>
    <w:rsid w:val="006D17DF"/>
    <w:rsid w:val="006D3096"/>
    <w:rsid w:val="006D30DB"/>
    <w:rsid w:val="006D33EB"/>
    <w:rsid w:val="006D40ED"/>
    <w:rsid w:val="006D43ED"/>
    <w:rsid w:val="006D4672"/>
    <w:rsid w:val="006D4BE4"/>
    <w:rsid w:val="006D5E80"/>
    <w:rsid w:val="006D5EDA"/>
    <w:rsid w:val="006D6169"/>
    <w:rsid w:val="006D7541"/>
    <w:rsid w:val="006D7BF4"/>
    <w:rsid w:val="006E08EA"/>
    <w:rsid w:val="006E0A8D"/>
    <w:rsid w:val="006E11EA"/>
    <w:rsid w:val="006E2D69"/>
    <w:rsid w:val="006E33A9"/>
    <w:rsid w:val="006E365D"/>
    <w:rsid w:val="006E3BB9"/>
    <w:rsid w:val="006E659F"/>
    <w:rsid w:val="006F1393"/>
    <w:rsid w:val="006F28A3"/>
    <w:rsid w:val="006F2AFF"/>
    <w:rsid w:val="006F489A"/>
    <w:rsid w:val="006F4C5A"/>
    <w:rsid w:val="006F6715"/>
    <w:rsid w:val="006F79E1"/>
    <w:rsid w:val="00701EE6"/>
    <w:rsid w:val="00702C93"/>
    <w:rsid w:val="00703169"/>
    <w:rsid w:val="00703218"/>
    <w:rsid w:val="007073F6"/>
    <w:rsid w:val="00707C48"/>
    <w:rsid w:val="00707E5B"/>
    <w:rsid w:val="00710173"/>
    <w:rsid w:val="0071229E"/>
    <w:rsid w:val="007127EE"/>
    <w:rsid w:val="00712C28"/>
    <w:rsid w:val="0071444F"/>
    <w:rsid w:val="0071636D"/>
    <w:rsid w:val="00716B69"/>
    <w:rsid w:val="00716C2D"/>
    <w:rsid w:val="00720486"/>
    <w:rsid w:val="00720BA1"/>
    <w:rsid w:val="007216F8"/>
    <w:rsid w:val="00723021"/>
    <w:rsid w:val="00723758"/>
    <w:rsid w:val="00723859"/>
    <w:rsid w:val="00724A01"/>
    <w:rsid w:val="00725D99"/>
    <w:rsid w:val="007261ED"/>
    <w:rsid w:val="007273AC"/>
    <w:rsid w:val="00732B4C"/>
    <w:rsid w:val="00734134"/>
    <w:rsid w:val="007348AF"/>
    <w:rsid w:val="00735A5B"/>
    <w:rsid w:val="007362CA"/>
    <w:rsid w:val="007409D4"/>
    <w:rsid w:val="007424BA"/>
    <w:rsid w:val="00744DB8"/>
    <w:rsid w:val="007458B6"/>
    <w:rsid w:val="00745C41"/>
    <w:rsid w:val="00747E34"/>
    <w:rsid w:val="00753B17"/>
    <w:rsid w:val="007542A3"/>
    <w:rsid w:val="00754AF6"/>
    <w:rsid w:val="00755EDD"/>
    <w:rsid w:val="00757437"/>
    <w:rsid w:val="00757A2A"/>
    <w:rsid w:val="00757DFE"/>
    <w:rsid w:val="007600FA"/>
    <w:rsid w:val="007607AD"/>
    <w:rsid w:val="007612D2"/>
    <w:rsid w:val="00761903"/>
    <w:rsid w:val="007620A1"/>
    <w:rsid w:val="00762D3E"/>
    <w:rsid w:val="00762D60"/>
    <w:rsid w:val="00764FFD"/>
    <w:rsid w:val="007655D5"/>
    <w:rsid w:val="00766917"/>
    <w:rsid w:val="00770A86"/>
    <w:rsid w:val="00770FE7"/>
    <w:rsid w:val="007726EA"/>
    <w:rsid w:val="0077277F"/>
    <w:rsid w:val="007732FF"/>
    <w:rsid w:val="00773466"/>
    <w:rsid w:val="00773544"/>
    <w:rsid w:val="0077384C"/>
    <w:rsid w:val="0077399A"/>
    <w:rsid w:val="00773B75"/>
    <w:rsid w:val="00773E12"/>
    <w:rsid w:val="00774DC9"/>
    <w:rsid w:val="00774DDA"/>
    <w:rsid w:val="00775F7A"/>
    <w:rsid w:val="007761C9"/>
    <w:rsid w:val="00777E13"/>
    <w:rsid w:val="0078281B"/>
    <w:rsid w:val="00782BF2"/>
    <w:rsid w:val="00782D21"/>
    <w:rsid w:val="0078418D"/>
    <w:rsid w:val="007868C7"/>
    <w:rsid w:val="00790426"/>
    <w:rsid w:val="007905DA"/>
    <w:rsid w:val="00791D82"/>
    <w:rsid w:val="007923C5"/>
    <w:rsid w:val="007933E8"/>
    <w:rsid w:val="00793F7C"/>
    <w:rsid w:val="0079529D"/>
    <w:rsid w:val="00795880"/>
    <w:rsid w:val="007963A3"/>
    <w:rsid w:val="007965A6"/>
    <w:rsid w:val="007A0869"/>
    <w:rsid w:val="007A0A34"/>
    <w:rsid w:val="007A0B2B"/>
    <w:rsid w:val="007A1159"/>
    <w:rsid w:val="007A3131"/>
    <w:rsid w:val="007A370C"/>
    <w:rsid w:val="007A3802"/>
    <w:rsid w:val="007A5773"/>
    <w:rsid w:val="007A63A7"/>
    <w:rsid w:val="007A71C9"/>
    <w:rsid w:val="007B0613"/>
    <w:rsid w:val="007B0F7A"/>
    <w:rsid w:val="007B22CD"/>
    <w:rsid w:val="007B2D46"/>
    <w:rsid w:val="007B4395"/>
    <w:rsid w:val="007B46D5"/>
    <w:rsid w:val="007B46D8"/>
    <w:rsid w:val="007B7B57"/>
    <w:rsid w:val="007C043E"/>
    <w:rsid w:val="007C0BAE"/>
    <w:rsid w:val="007C21F3"/>
    <w:rsid w:val="007C29AB"/>
    <w:rsid w:val="007C29DD"/>
    <w:rsid w:val="007C3650"/>
    <w:rsid w:val="007C4817"/>
    <w:rsid w:val="007C6A41"/>
    <w:rsid w:val="007C6E81"/>
    <w:rsid w:val="007C71D3"/>
    <w:rsid w:val="007C75B0"/>
    <w:rsid w:val="007D0335"/>
    <w:rsid w:val="007D0A2C"/>
    <w:rsid w:val="007D12EB"/>
    <w:rsid w:val="007D1447"/>
    <w:rsid w:val="007D151B"/>
    <w:rsid w:val="007D289B"/>
    <w:rsid w:val="007D3C23"/>
    <w:rsid w:val="007D40D6"/>
    <w:rsid w:val="007D4C99"/>
    <w:rsid w:val="007D6DCD"/>
    <w:rsid w:val="007D7AD2"/>
    <w:rsid w:val="007E0F57"/>
    <w:rsid w:val="007E1303"/>
    <w:rsid w:val="007E16EE"/>
    <w:rsid w:val="007E1B77"/>
    <w:rsid w:val="007E1EE9"/>
    <w:rsid w:val="007E2467"/>
    <w:rsid w:val="007E4D54"/>
    <w:rsid w:val="007E623C"/>
    <w:rsid w:val="007E6DF7"/>
    <w:rsid w:val="007E7229"/>
    <w:rsid w:val="007F0292"/>
    <w:rsid w:val="007F0530"/>
    <w:rsid w:val="007F1EED"/>
    <w:rsid w:val="007F4B1D"/>
    <w:rsid w:val="007F4D21"/>
    <w:rsid w:val="007F71FC"/>
    <w:rsid w:val="007F742F"/>
    <w:rsid w:val="007F79BF"/>
    <w:rsid w:val="0080043E"/>
    <w:rsid w:val="008007A7"/>
    <w:rsid w:val="00802600"/>
    <w:rsid w:val="00803200"/>
    <w:rsid w:val="0080341E"/>
    <w:rsid w:val="00803BC6"/>
    <w:rsid w:val="0080538A"/>
    <w:rsid w:val="00805CE2"/>
    <w:rsid w:val="0080628D"/>
    <w:rsid w:val="00807064"/>
    <w:rsid w:val="00807B40"/>
    <w:rsid w:val="008100CE"/>
    <w:rsid w:val="008108BB"/>
    <w:rsid w:val="00811C74"/>
    <w:rsid w:val="00813664"/>
    <w:rsid w:val="00813C53"/>
    <w:rsid w:val="00814A32"/>
    <w:rsid w:val="00814D57"/>
    <w:rsid w:val="008152C3"/>
    <w:rsid w:val="00816BC3"/>
    <w:rsid w:val="008175B9"/>
    <w:rsid w:val="008203EA"/>
    <w:rsid w:val="008206A2"/>
    <w:rsid w:val="00820F33"/>
    <w:rsid w:val="0082108E"/>
    <w:rsid w:val="00821F3F"/>
    <w:rsid w:val="00822652"/>
    <w:rsid w:val="00825731"/>
    <w:rsid w:val="00825C26"/>
    <w:rsid w:val="00826A96"/>
    <w:rsid w:val="00826B42"/>
    <w:rsid w:val="008274C9"/>
    <w:rsid w:val="00827E70"/>
    <w:rsid w:val="00830D7F"/>
    <w:rsid w:val="008313B4"/>
    <w:rsid w:val="008326E6"/>
    <w:rsid w:val="00833068"/>
    <w:rsid w:val="0083475D"/>
    <w:rsid w:val="00834B96"/>
    <w:rsid w:val="00834E1E"/>
    <w:rsid w:val="008356E1"/>
    <w:rsid w:val="00840EF3"/>
    <w:rsid w:val="00843CFA"/>
    <w:rsid w:val="0084516C"/>
    <w:rsid w:val="0084524E"/>
    <w:rsid w:val="0084525A"/>
    <w:rsid w:val="0084650A"/>
    <w:rsid w:val="00847130"/>
    <w:rsid w:val="00847A40"/>
    <w:rsid w:val="00850FD4"/>
    <w:rsid w:val="00853088"/>
    <w:rsid w:val="008531F3"/>
    <w:rsid w:val="008532D9"/>
    <w:rsid w:val="008539B9"/>
    <w:rsid w:val="00854E03"/>
    <w:rsid w:val="0085554F"/>
    <w:rsid w:val="008604F4"/>
    <w:rsid w:val="00862B20"/>
    <w:rsid w:val="00863E83"/>
    <w:rsid w:val="00863FC6"/>
    <w:rsid w:val="00864709"/>
    <w:rsid w:val="00864A08"/>
    <w:rsid w:val="00865F5E"/>
    <w:rsid w:val="00872853"/>
    <w:rsid w:val="00873A31"/>
    <w:rsid w:val="0087593E"/>
    <w:rsid w:val="00875AFC"/>
    <w:rsid w:val="008762D3"/>
    <w:rsid w:val="00876B61"/>
    <w:rsid w:val="00876DAA"/>
    <w:rsid w:val="0088066F"/>
    <w:rsid w:val="008818A7"/>
    <w:rsid w:val="008832A2"/>
    <w:rsid w:val="00883FB1"/>
    <w:rsid w:val="00884DC4"/>
    <w:rsid w:val="00884EA2"/>
    <w:rsid w:val="00886D4B"/>
    <w:rsid w:val="00887572"/>
    <w:rsid w:val="0089082B"/>
    <w:rsid w:val="008910E4"/>
    <w:rsid w:val="008912C9"/>
    <w:rsid w:val="00891B0A"/>
    <w:rsid w:val="00892A21"/>
    <w:rsid w:val="00893847"/>
    <w:rsid w:val="00893AF2"/>
    <w:rsid w:val="00894636"/>
    <w:rsid w:val="008959BB"/>
    <w:rsid w:val="00897586"/>
    <w:rsid w:val="008A0586"/>
    <w:rsid w:val="008A3730"/>
    <w:rsid w:val="008A4C54"/>
    <w:rsid w:val="008A55FF"/>
    <w:rsid w:val="008A5963"/>
    <w:rsid w:val="008A6701"/>
    <w:rsid w:val="008A6D72"/>
    <w:rsid w:val="008A730F"/>
    <w:rsid w:val="008A7797"/>
    <w:rsid w:val="008B0C8C"/>
    <w:rsid w:val="008B38CC"/>
    <w:rsid w:val="008B47B2"/>
    <w:rsid w:val="008B4950"/>
    <w:rsid w:val="008B5D2E"/>
    <w:rsid w:val="008B5D34"/>
    <w:rsid w:val="008B6603"/>
    <w:rsid w:val="008B68AE"/>
    <w:rsid w:val="008B7443"/>
    <w:rsid w:val="008B7490"/>
    <w:rsid w:val="008B76FA"/>
    <w:rsid w:val="008C17DF"/>
    <w:rsid w:val="008C3D79"/>
    <w:rsid w:val="008C3D7B"/>
    <w:rsid w:val="008C3F02"/>
    <w:rsid w:val="008C5C82"/>
    <w:rsid w:val="008C6232"/>
    <w:rsid w:val="008C689B"/>
    <w:rsid w:val="008C7291"/>
    <w:rsid w:val="008D000F"/>
    <w:rsid w:val="008D0549"/>
    <w:rsid w:val="008D1EE1"/>
    <w:rsid w:val="008D233C"/>
    <w:rsid w:val="008D2690"/>
    <w:rsid w:val="008D6501"/>
    <w:rsid w:val="008D65BB"/>
    <w:rsid w:val="008D766E"/>
    <w:rsid w:val="008D7703"/>
    <w:rsid w:val="008E1E68"/>
    <w:rsid w:val="008E201C"/>
    <w:rsid w:val="008E38CE"/>
    <w:rsid w:val="008E49FB"/>
    <w:rsid w:val="008E4E49"/>
    <w:rsid w:val="008E5993"/>
    <w:rsid w:val="008E7258"/>
    <w:rsid w:val="008E784F"/>
    <w:rsid w:val="008F1026"/>
    <w:rsid w:val="008F12BE"/>
    <w:rsid w:val="008F167D"/>
    <w:rsid w:val="008F1E41"/>
    <w:rsid w:val="008F36CA"/>
    <w:rsid w:val="008F4575"/>
    <w:rsid w:val="008F588E"/>
    <w:rsid w:val="008F6920"/>
    <w:rsid w:val="008F6C5A"/>
    <w:rsid w:val="008F75A9"/>
    <w:rsid w:val="008F7DCF"/>
    <w:rsid w:val="00900274"/>
    <w:rsid w:val="009024AF"/>
    <w:rsid w:val="009025C8"/>
    <w:rsid w:val="00903BF2"/>
    <w:rsid w:val="00905E27"/>
    <w:rsid w:val="00907631"/>
    <w:rsid w:val="009105E7"/>
    <w:rsid w:val="009109ED"/>
    <w:rsid w:val="00912489"/>
    <w:rsid w:val="00912C4A"/>
    <w:rsid w:val="00913C9F"/>
    <w:rsid w:val="00914FB9"/>
    <w:rsid w:val="0091503C"/>
    <w:rsid w:val="00915C2B"/>
    <w:rsid w:val="00916440"/>
    <w:rsid w:val="00916EB1"/>
    <w:rsid w:val="00916F16"/>
    <w:rsid w:val="00917C3F"/>
    <w:rsid w:val="00917C83"/>
    <w:rsid w:val="0092062C"/>
    <w:rsid w:val="00920EA8"/>
    <w:rsid w:val="00921018"/>
    <w:rsid w:val="009214A7"/>
    <w:rsid w:val="00922AD1"/>
    <w:rsid w:val="009234C8"/>
    <w:rsid w:val="00925ACE"/>
    <w:rsid w:val="00926E17"/>
    <w:rsid w:val="0092761E"/>
    <w:rsid w:val="00930F51"/>
    <w:rsid w:val="00937A34"/>
    <w:rsid w:val="00940274"/>
    <w:rsid w:val="00940BA1"/>
    <w:rsid w:val="00940C71"/>
    <w:rsid w:val="00940CB3"/>
    <w:rsid w:val="00940F36"/>
    <w:rsid w:val="00941074"/>
    <w:rsid w:val="0094252E"/>
    <w:rsid w:val="009437BD"/>
    <w:rsid w:val="009455B3"/>
    <w:rsid w:val="00945660"/>
    <w:rsid w:val="0094618D"/>
    <w:rsid w:val="00947145"/>
    <w:rsid w:val="009505CB"/>
    <w:rsid w:val="0095064C"/>
    <w:rsid w:val="009525DF"/>
    <w:rsid w:val="00952C4E"/>
    <w:rsid w:val="0095351E"/>
    <w:rsid w:val="00954E2F"/>
    <w:rsid w:val="00955DD1"/>
    <w:rsid w:val="00956174"/>
    <w:rsid w:val="00956388"/>
    <w:rsid w:val="009567B3"/>
    <w:rsid w:val="00957D02"/>
    <w:rsid w:val="00960EAB"/>
    <w:rsid w:val="009615CD"/>
    <w:rsid w:val="00963C51"/>
    <w:rsid w:val="00963DDD"/>
    <w:rsid w:val="0096496D"/>
    <w:rsid w:val="00964D3C"/>
    <w:rsid w:val="00964EC6"/>
    <w:rsid w:val="0096776D"/>
    <w:rsid w:val="00967930"/>
    <w:rsid w:val="009720BA"/>
    <w:rsid w:val="009725ED"/>
    <w:rsid w:val="00972B2C"/>
    <w:rsid w:val="00973CC5"/>
    <w:rsid w:val="00974A91"/>
    <w:rsid w:val="0097502F"/>
    <w:rsid w:val="00976652"/>
    <w:rsid w:val="009767FD"/>
    <w:rsid w:val="0098135A"/>
    <w:rsid w:val="009814A3"/>
    <w:rsid w:val="0098159D"/>
    <w:rsid w:val="00981E72"/>
    <w:rsid w:val="00982DCA"/>
    <w:rsid w:val="00982EBC"/>
    <w:rsid w:val="009830D9"/>
    <w:rsid w:val="009841FF"/>
    <w:rsid w:val="009879A4"/>
    <w:rsid w:val="00990BDC"/>
    <w:rsid w:val="00992EA4"/>
    <w:rsid w:val="00993173"/>
    <w:rsid w:val="009945AD"/>
    <w:rsid w:val="0099493B"/>
    <w:rsid w:val="00995791"/>
    <w:rsid w:val="0099639F"/>
    <w:rsid w:val="0099686F"/>
    <w:rsid w:val="0099700C"/>
    <w:rsid w:val="00997984"/>
    <w:rsid w:val="009A0052"/>
    <w:rsid w:val="009A2D76"/>
    <w:rsid w:val="009A2F7F"/>
    <w:rsid w:val="009A341C"/>
    <w:rsid w:val="009A3F77"/>
    <w:rsid w:val="009A4A79"/>
    <w:rsid w:val="009A4E24"/>
    <w:rsid w:val="009A75EB"/>
    <w:rsid w:val="009B0DA5"/>
    <w:rsid w:val="009B1264"/>
    <w:rsid w:val="009B226B"/>
    <w:rsid w:val="009B2EEF"/>
    <w:rsid w:val="009B3274"/>
    <w:rsid w:val="009B38B5"/>
    <w:rsid w:val="009B3FC0"/>
    <w:rsid w:val="009B476D"/>
    <w:rsid w:val="009B60E8"/>
    <w:rsid w:val="009B6E56"/>
    <w:rsid w:val="009C358C"/>
    <w:rsid w:val="009C3ADE"/>
    <w:rsid w:val="009C439F"/>
    <w:rsid w:val="009C447A"/>
    <w:rsid w:val="009C5105"/>
    <w:rsid w:val="009C5640"/>
    <w:rsid w:val="009D030C"/>
    <w:rsid w:val="009D0A64"/>
    <w:rsid w:val="009D15F5"/>
    <w:rsid w:val="009D1AD1"/>
    <w:rsid w:val="009D569A"/>
    <w:rsid w:val="009D6EA8"/>
    <w:rsid w:val="009D7105"/>
    <w:rsid w:val="009E0DC1"/>
    <w:rsid w:val="009E2E48"/>
    <w:rsid w:val="009E2EBE"/>
    <w:rsid w:val="009E34A1"/>
    <w:rsid w:val="009E34E9"/>
    <w:rsid w:val="009E39E6"/>
    <w:rsid w:val="009E6AC4"/>
    <w:rsid w:val="009E7FB9"/>
    <w:rsid w:val="009F170C"/>
    <w:rsid w:val="009F36CA"/>
    <w:rsid w:val="009F4C3D"/>
    <w:rsid w:val="009F51C4"/>
    <w:rsid w:val="00A00B06"/>
    <w:rsid w:val="00A021A2"/>
    <w:rsid w:val="00A02634"/>
    <w:rsid w:val="00A048ED"/>
    <w:rsid w:val="00A04940"/>
    <w:rsid w:val="00A04A9C"/>
    <w:rsid w:val="00A04F84"/>
    <w:rsid w:val="00A056BE"/>
    <w:rsid w:val="00A06EA0"/>
    <w:rsid w:val="00A07225"/>
    <w:rsid w:val="00A100C2"/>
    <w:rsid w:val="00A104C7"/>
    <w:rsid w:val="00A1137D"/>
    <w:rsid w:val="00A1138D"/>
    <w:rsid w:val="00A12508"/>
    <w:rsid w:val="00A146B1"/>
    <w:rsid w:val="00A1571F"/>
    <w:rsid w:val="00A164C2"/>
    <w:rsid w:val="00A1785B"/>
    <w:rsid w:val="00A17D36"/>
    <w:rsid w:val="00A201C6"/>
    <w:rsid w:val="00A20F34"/>
    <w:rsid w:val="00A2153D"/>
    <w:rsid w:val="00A2255C"/>
    <w:rsid w:val="00A24B64"/>
    <w:rsid w:val="00A25728"/>
    <w:rsid w:val="00A25F49"/>
    <w:rsid w:val="00A26E86"/>
    <w:rsid w:val="00A27081"/>
    <w:rsid w:val="00A27CA3"/>
    <w:rsid w:val="00A27E4C"/>
    <w:rsid w:val="00A30A83"/>
    <w:rsid w:val="00A310D7"/>
    <w:rsid w:val="00A31B5D"/>
    <w:rsid w:val="00A33763"/>
    <w:rsid w:val="00A33D3A"/>
    <w:rsid w:val="00A34B6D"/>
    <w:rsid w:val="00A354D9"/>
    <w:rsid w:val="00A3587A"/>
    <w:rsid w:val="00A36738"/>
    <w:rsid w:val="00A371C7"/>
    <w:rsid w:val="00A37303"/>
    <w:rsid w:val="00A40319"/>
    <w:rsid w:val="00A41329"/>
    <w:rsid w:val="00A44996"/>
    <w:rsid w:val="00A46FF0"/>
    <w:rsid w:val="00A5176E"/>
    <w:rsid w:val="00A51853"/>
    <w:rsid w:val="00A51F05"/>
    <w:rsid w:val="00A5341F"/>
    <w:rsid w:val="00A54B82"/>
    <w:rsid w:val="00A56656"/>
    <w:rsid w:val="00A57DE0"/>
    <w:rsid w:val="00A60429"/>
    <w:rsid w:val="00A613DE"/>
    <w:rsid w:val="00A633DB"/>
    <w:rsid w:val="00A64A6B"/>
    <w:rsid w:val="00A64E3F"/>
    <w:rsid w:val="00A65E43"/>
    <w:rsid w:val="00A66423"/>
    <w:rsid w:val="00A66A9B"/>
    <w:rsid w:val="00A66B22"/>
    <w:rsid w:val="00A702B0"/>
    <w:rsid w:val="00A70DF6"/>
    <w:rsid w:val="00A71275"/>
    <w:rsid w:val="00A72E85"/>
    <w:rsid w:val="00A7450E"/>
    <w:rsid w:val="00A753A6"/>
    <w:rsid w:val="00A77110"/>
    <w:rsid w:val="00A8021C"/>
    <w:rsid w:val="00A8055F"/>
    <w:rsid w:val="00A80E0A"/>
    <w:rsid w:val="00A8196E"/>
    <w:rsid w:val="00A824E9"/>
    <w:rsid w:val="00A82861"/>
    <w:rsid w:val="00A82BC1"/>
    <w:rsid w:val="00A83439"/>
    <w:rsid w:val="00A83486"/>
    <w:rsid w:val="00A842A3"/>
    <w:rsid w:val="00A852FF"/>
    <w:rsid w:val="00A85453"/>
    <w:rsid w:val="00A85F23"/>
    <w:rsid w:val="00A86081"/>
    <w:rsid w:val="00A86D8D"/>
    <w:rsid w:val="00A87C8B"/>
    <w:rsid w:val="00A90294"/>
    <w:rsid w:val="00A90A8C"/>
    <w:rsid w:val="00A9103B"/>
    <w:rsid w:val="00A9143D"/>
    <w:rsid w:val="00A91548"/>
    <w:rsid w:val="00A91582"/>
    <w:rsid w:val="00A9250C"/>
    <w:rsid w:val="00A9317C"/>
    <w:rsid w:val="00A941F9"/>
    <w:rsid w:val="00A963AA"/>
    <w:rsid w:val="00AA00D7"/>
    <w:rsid w:val="00AA02B0"/>
    <w:rsid w:val="00AA0992"/>
    <w:rsid w:val="00AA0BB5"/>
    <w:rsid w:val="00AA1785"/>
    <w:rsid w:val="00AA1B09"/>
    <w:rsid w:val="00AA2781"/>
    <w:rsid w:val="00AA2C7A"/>
    <w:rsid w:val="00AA30E5"/>
    <w:rsid w:val="00AA31AF"/>
    <w:rsid w:val="00AA3305"/>
    <w:rsid w:val="00AA3B8C"/>
    <w:rsid w:val="00AA4365"/>
    <w:rsid w:val="00AA54D4"/>
    <w:rsid w:val="00AA7966"/>
    <w:rsid w:val="00AB01B7"/>
    <w:rsid w:val="00AB01E2"/>
    <w:rsid w:val="00AB0732"/>
    <w:rsid w:val="00AB15AC"/>
    <w:rsid w:val="00AB1E62"/>
    <w:rsid w:val="00AB28D3"/>
    <w:rsid w:val="00AB303B"/>
    <w:rsid w:val="00AB3629"/>
    <w:rsid w:val="00AB43D3"/>
    <w:rsid w:val="00AB5382"/>
    <w:rsid w:val="00AB5426"/>
    <w:rsid w:val="00AB738A"/>
    <w:rsid w:val="00AB7914"/>
    <w:rsid w:val="00AC2666"/>
    <w:rsid w:val="00AC337A"/>
    <w:rsid w:val="00AC3618"/>
    <w:rsid w:val="00AC4ED9"/>
    <w:rsid w:val="00AC57FB"/>
    <w:rsid w:val="00AC5945"/>
    <w:rsid w:val="00AC5FF5"/>
    <w:rsid w:val="00AC66A7"/>
    <w:rsid w:val="00AD044A"/>
    <w:rsid w:val="00AD1867"/>
    <w:rsid w:val="00AD2ED4"/>
    <w:rsid w:val="00AD347D"/>
    <w:rsid w:val="00AD445A"/>
    <w:rsid w:val="00AD4CBC"/>
    <w:rsid w:val="00AD4F00"/>
    <w:rsid w:val="00AD5B13"/>
    <w:rsid w:val="00AD5E46"/>
    <w:rsid w:val="00AD7652"/>
    <w:rsid w:val="00AE0150"/>
    <w:rsid w:val="00AE03B8"/>
    <w:rsid w:val="00AE0460"/>
    <w:rsid w:val="00AE0B61"/>
    <w:rsid w:val="00AE354B"/>
    <w:rsid w:val="00AE35D6"/>
    <w:rsid w:val="00AE3999"/>
    <w:rsid w:val="00AE4592"/>
    <w:rsid w:val="00AE6590"/>
    <w:rsid w:val="00AE6E53"/>
    <w:rsid w:val="00AF09D1"/>
    <w:rsid w:val="00AF0FFC"/>
    <w:rsid w:val="00AF1342"/>
    <w:rsid w:val="00AF1747"/>
    <w:rsid w:val="00AF2195"/>
    <w:rsid w:val="00AF27E9"/>
    <w:rsid w:val="00AF31FC"/>
    <w:rsid w:val="00AF34FC"/>
    <w:rsid w:val="00AF3F66"/>
    <w:rsid w:val="00AF43EB"/>
    <w:rsid w:val="00AF4533"/>
    <w:rsid w:val="00AF5242"/>
    <w:rsid w:val="00AF5538"/>
    <w:rsid w:val="00B01B9E"/>
    <w:rsid w:val="00B024E0"/>
    <w:rsid w:val="00B031DF"/>
    <w:rsid w:val="00B03941"/>
    <w:rsid w:val="00B03AA3"/>
    <w:rsid w:val="00B03D73"/>
    <w:rsid w:val="00B04800"/>
    <w:rsid w:val="00B056D8"/>
    <w:rsid w:val="00B05F57"/>
    <w:rsid w:val="00B067B6"/>
    <w:rsid w:val="00B07413"/>
    <w:rsid w:val="00B10206"/>
    <w:rsid w:val="00B1115E"/>
    <w:rsid w:val="00B132C4"/>
    <w:rsid w:val="00B137CA"/>
    <w:rsid w:val="00B138B0"/>
    <w:rsid w:val="00B1431F"/>
    <w:rsid w:val="00B1667B"/>
    <w:rsid w:val="00B20729"/>
    <w:rsid w:val="00B2153B"/>
    <w:rsid w:val="00B2311D"/>
    <w:rsid w:val="00B23586"/>
    <w:rsid w:val="00B241CE"/>
    <w:rsid w:val="00B24DC8"/>
    <w:rsid w:val="00B2525E"/>
    <w:rsid w:val="00B25838"/>
    <w:rsid w:val="00B25E4D"/>
    <w:rsid w:val="00B2641F"/>
    <w:rsid w:val="00B2681C"/>
    <w:rsid w:val="00B2753B"/>
    <w:rsid w:val="00B2783E"/>
    <w:rsid w:val="00B27FF6"/>
    <w:rsid w:val="00B3030C"/>
    <w:rsid w:val="00B308E6"/>
    <w:rsid w:val="00B30F7E"/>
    <w:rsid w:val="00B3111F"/>
    <w:rsid w:val="00B3238E"/>
    <w:rsid w:val="00B333ED"/>
    <w:rsid w:val="00B35357"/>
    <w:rsid w:val="00B37169"/>
    <w:rsid w:val="00B405C9"/>
    <w:rsid w:val="00B412EC"/>
    <w:rsid w:val="00B417D1"/>
    <w:rsid w:val="00B41E66"/>
    <w:rsid w:val="00B41EBB"/>
    <w:rsid w:val="00B437B4"/>
    <w:rsid w:val="00B440F7"/>
    <w:rsid w:val="00B4667D"/>
    <w:rsid w:val="00B46A91"/>
    <w:rsid w:val="00B5058E"/>
    <w:rsid w:val="00B50E2E"/>
    <w:rsid w:val="00B51886"/>
    <w:rsid w:val="00B52804"/>
    <w:rsid w:val="00B53E93"/>
    <w:rsid w:val="00B54485"/>
    <w:rsid w:val="00B56CFC"/>
    <w:rsid w:val="00B57219"/>
    <w:rsid w:val="00B57D7A"/>
    <w:rsid w:val="00B57DD9"/>
    <w:rsid w:val="00B57F18"/>
    <w:rsid w:val="00B61B14"/>
    <w:rsid w:val="00B62555"/>
    <w:rsid w:val="00B62BC6"/>
    <w:rsid w:val="00B62C0C"/>
    <w:rsid w:val="00B62D94"/>
    <w:rsid w:val="00B63CEA"/>
    <w:rsid w:val="00B64540"/>
    <w:rsid w:val="00B6531C"/>
    <w:rsid w:val="00B654AF"/>
    <w:rsid w:val="00B671B0"/>
    <w:rsid w:val="00B67F4B"/>
    <w:rsid w:val="00B7018C"/>
    <w:rsid w:val="00B7021A"/>
    <w:rsid w:val="00B709D0"/>
    <w:rsid w:val="00B71647"/>
    <w:rsid w:val="00B71C4D"/>
    <w:rsid w:val="00B73DBA"/>
    <w:rsid w:val="00B740E1"/>
    <w:rsid w:val="00B749EF"/>
    <w:rsid w:val="00B75749"/>
    <w:rsid w:val="00B76694"/>
    <w:rsid w:val="00B76859"/>
    <w:rsid w:val="00B77EC3"/>
    <w:rsid w:val="00B808D1"/>
    <w:rsid w:val="00B809ED"/>
    <w:rsid w:val="00B81029"/>
    <w:rsid w:val="00B81FF1"/>
    <w:rsid w:val="00B8251A"/>
    <w:rsid w:val="00B82E84"/>
    <w:rsid w:val="00B835FB"/>
    <w:rsid w:val="00B83AB4"/>
    <w:rsid w:val="00B84FAE"/>
    <w:rsid w:val="00B851BB"/>
    <w:rsid w:val="00B861C7"/>
    <w:rsid w:val="00B87DD9"/>
    <w:rsid w:val="00B90603"/>
    <w:rsid w:val="00B9071D"/>
    <w:rsid w:val="00B913DF"/>
    <w:rsid w:val="00B9160C"/>
    <w:rsid w:val="00B92D8A"/>
    <w:rsid w:val="00B93796"/>
    <w:rsid w:val="00B959DC"/>
    <w:rsid w:val="00BA005A"/>
    <w:rsid w:val="00BA03F1"/>
    <w:rsid w:val="00BA0A11"/>
    <w:rsid w:val="00BA2298"/>
    <w:rsid w:val="00BA4FC7"/>
    <w:rsid w:val="00BA53D5"/>
    <w:rsid w:val="00BA59BB"/>
    <w:rsid w:val="00BA5D6B"/>
    <w:rsid w:val="00BA75B3"/>
    <w:rsid w:val="00BA7FC8"/>
    <w:rsid w:val="00BB1B41"/>
    <w:rsid w:val="00BB1EB1"/>
    <w:rsid w:val="00BB1F85"/>
    <w:rsid w:val="00BB2425"/>
    <w:rsid w:val="00BB2B5F"/>
    <w:rsid w:val="00BB38EA"/>
    <w:rsid w:val="00BB4E10"/>
    <w:rsid w:val="00BB546E"/>
    <w:rsid w:val="00BB59D9"/>
    <w:rsid w:val="00BB5EA8"/>
    <w:rsid w:val="00BB63CB"/>
    <w:rsid w:val="00BB73A0"/>
    <w:rsid w:val="00BB743D"/>
    <w:rsid w:val="00BB7D09"/>
    <w:rsid w:val="00BC1E57"/>
    <w:rsid w:val="00BC243A"/>
    <w:rsid w:val="00BC3335"/>
    <w:rsid w:val="00BC3547"/>
    <w:rsid w:val="00BC3A13"/>
    <w:rsid w:val="00BC5E0A"/>
    <w:rsid w:val="00BC70BB"/>
    <w:rsid w:val="00BC7C0A"/>
    <w:rsid w:val="00BD0BCC"/>
    <w:rsid w:val="00BD15C7"/>
    <w:rsid w:val="00BD23F8"/>
    <w:rsid w:val="00BD2787"/>
    <w:rsid w:val="00BD2B13"/>
    <w:rsid w:val="00BD3447"/>
    <w:rsid w:val="00BD3697"/>
    <w:rsid w:val="00BD3AB0"/>
    <w:rsid w:val="00BD503C"/>
    <w:rsid w:val="00BD6F0F"/>
    <w:rsid w:val="00BE0089"/>
    <w:rsid w:val="00BE0C3E"/>
    <w:rsid w:val="00BE12A6"/>
    <w:rsid w:val="00BE1595"/>
    <w:rsid w:val="00BE1B19"/>
    <w:rsid w:val="00BE27C7"/>
    <w:rsid w:val="00BE3214"/>
    <w:rsid w:val="00BE45AA"/>
    <w:rsid w:val="00BE4A5F"/>
    <w:rsid w:val="00BE4B66"/>
    <w:rsid w:val="00BE59CE"/>
    <w:rsid w:val="00BE6A98"/>
    <w:rsid w:val="00BE6BA2"/>
    <w:rsid w:val="00BE6C47"/>
    <w:rsid w:val="00BE7054"/>
    <w:rsid w:val="00BF04C0"/>
    <w:rsid w:val="00BF0BC4"/>
    <w:rsid w:val="00BF1EF5"/>
    <w:rsid w:val="00BF2B1E"/>
    <w:rsid w:val="00BF2B54"/>
    <w:rsid w:val="00BF442C"/>
    <w:rsid w:val="00BF5CD7"/>
    <w:rsid w:val="00BF60F2"/>
    <w:rsid w:val="00BF6103"/>
    <w:rsid w:val="00BF6DD0"/>
    <w:rsid w:val="00BF6F0F"/>
    <w:rsid w:val="00BF7920"/>
    <w:rsid w:val="00C02408"/>
    <w:rsid w:val="00C03FEA"/>
    <w:rsid w:val="00C04E7E"/>
    <w:rsid w:val="00C054BB"/>
    <w:rsid w:val="00C06C5F"/>
    <w:rsid w:val="00C074A1"/>
    <w:rsid w:val="00C112E1"/>
    <w:rsid w:val="00C117F8"/>
    <w:rsid w:val="00C11D78"/>
    <w:rsid w:val="00C13424"/>
    <w:rsid w:val="00C136FB"/>
    <w:rsid w:val="00C1516E"/>
    <w:rsid w:val="00C15576"/>
    <w:rsid w:val="00C21189"/>
    <w:rsid w:val="00C21765"/>
    <w:rsid w:val="00C22FE2"/>
    <w:rsid w:val="00C23DEC"/>
    <w:rsid w:val="00C24935"/>
    <w:rsid w:val="00C25234"/>
    <w:rsid w:val="00C2524B"/>
    <w:rsid w:val="00C2526B"/>
    <w:rsid w:val="00C25836"/>
    <w:rsid w:val="00C27641"/>
    <w:rsid w:val="00C30A02"/>
    <w:rsid w:val="00C31135"/>
    <w:rsid w:val="00C31613"/>
    <w:rsid w:val="00C31EEF"/>
    <w:rsid w:val="00C325D6"/>
    <w:rsid w:val="00C33E3B"/>
    <w:rsid w:val="00C34BCA"/>
    <w:rsid w:val="00C3583D"/>
    <w:rsid w:val="00C3674C"/>
    <w:rsid w:val="00C37E7C"/>
    <w:rsid w:val="00C407B0"/>
    <w:rsid w:val="00C41592"/>
    <w:rsid w:val="00C43929"/>
    <w:rsid w:val="00C43B3C"/>
    <w:rsid w:val="00C442A4"/>
    <w:rsid w:val="00C461AE"/>
    <w:rsid w:val="00C46475"/>
    <w:rsid w:val="00C47991"/>
    <w:rsid w:val="00C503CB"/>
    <w:rsid w:val="00C51590"/>
    <w:rsid w:val="00C51F6B"/>
    <w:rsid w:val="00C52B5A"/>
    <w:rsid w:val="00C55C75"/>
    <w:rsid w:val="00C55E2A"/>
    <w:rsid w:val="00C565F3"/>
    <w:rsid w:val="00C56696"/>
    <w:rsid w:val="00C56876"/>
    <w:rsid w:val="00C57B4C"/>
    <w:rsid w:val="00C61E5A"/>
    <w:rsid w:val="00C62E3A"/>
    <w:rsid w:val="00C649A2"/>
    <w:rsid w:val="00C65F72"/>
    <w:rsid w:val="00C668F2"/>
    <w:rsid w:val="00C6782B"/>
    <w:rsid w:val="00C67FFA"/>
    <w:rsid w:val="00C708D0"/>
    <w:rsid w:val="00C7165F"/>
    <w:rsid w:val="00C72083"/>
    <w:rsid w:val="00C72BB1"/>
    <w:rsid w:val="00C72C35"/>
    <w:rsid w:val="00C736DD"/>
    <w:rsid w:val="00C73792"/>
    <w:rsid w:val="00C73930"/>
    <w:rsid w:val="00C7405A"/>
    <w:rsid w:val="00C7492C"/>
    <w:rsid w:val="00C76BDE"/>
    <w:rsid w:val="00C76E29"/>
    <w:rsid w:val="00C8107F"/>
    <w:rsid w:val="00C82F7C"/>
    <w:rsid w:val="00C83462"/>
    <w:rsid w:val="00C83513"/>
    <w:rsid w:val="00C85B02"/>
    <w:rsid w:val="00C85D29"/>
    <w:rsid w:val="00C86495"/>
    <w:rsid w:val="00C865B8"/>
    <w:rsid w:val="00C90793"/>
    <w:rsid w:val="00C918BD"/>
    <w:rsid w:val="00C93D47"/>
    <w:rsid w:val="00C95C72"/>
    <w:rsid w:val="00C9698B"/>
    <w:rsid w:val="00C96A56"/>
    <w:rsid w:val="00CA3C76"/>
    <w:rsid w:val="00CA3CEF"/>
    <w:rsid w:val="00CA3D64"/>
    <w:rsid w:val="00CA446E"/>
    <w:rsid w:val="00CA48EA"/>
    <w:rsid w:val="00CA5956"/>
    <w:rsid w:val="00CB01A3"/>
    <w:rsid w:val="00CB087A"/>
    <w:rsid w:val="00CB121E"/>
    <w:rsid w:val="00CB1A33"/>
    <w:rsid w:val="00CB21F9"/>
    <w:rsid w:val="00CB233C"/>
    <w:rsid w:val="00CB3568"/>
    <w:rsid w:val="00CB616A"/>
    <w:rsid w:val="00CB62CF"/>
    <w:rsid w:val="00CB66DE"/>
    <w:rsid w:val="00CC04B9"/>
    <w:rsid w:val="00CC0C45"/>
    <w:rsid w:val="00CC1589"/>
    <w:rsid w:val="00CC2641"/>
    <w:rsid w:val="00CC3171"/>
    <w:rsid w:val="00CC3A45"/>
    <w:rsid w:val="00CC485E"/>
    <w:rsid w:val="00CC520F"/>
    <w:rsid w:val="00CC5360"/>
    <w:rsid w:val="00CC65E9"/>
    <w:rsid w:val="00CC6D36"/>
    <w:rsid w:val="00CC7B1A"/>
    <w:rsid w:val="00CD041E"/>
    <w:rsid w:val="00CD43BC"/>
    <w:rsid w:val="00CD4818"/>
    <w:rsid w:val="00CD4F19"/>
    <w:rsid w:val="00CD5FBE"/>
    <w:rsid w:val="00CE0B21"/>
    <w:rsid w:val="00CE119C"/>
    <w:rsid w:val="00CE15BD"/>
    <w:rsid w:val="00CE189B"/>
    <w:rsid w:val="00CE194C"/>
    <w:rsid w:val="00CE20EC"/>
    <w:rsid w:val="00CE3DD4"/>
    <w:rsid w:val="00CE493C"/>
    <w:rsid w:val="00CE512E"/>
    <w:rsid w:val="00CE6208"/>
    <w:rsid w:val="00CE654E"/>
    <w:rsid w:val="00CE6567"/>
    <w:rsid w:val="00CE6CB2"/>
    <w:rsid w:val="00CE6CC5"/>
    <w:rsid w:val="00CF0B01"/>
    <w:rsid w:val="00CF0FF0"/>
    <w:rsid w:val="00CF10AA"/>
    <w:rsid w:val="00CF1CFF"/>
    <w:rsid w:val="00CF2000"/>
    <w:rsid w:val="00CF224D"/>
    <w:rsid w:val="00CF3916"/>
    <w:rsid w:val="00CF3A23"/>
    <w:rsid w:val="00CF3B8D"/>
    <w:rsid w:val="00CF3D4D"/>
    <w:rsid w:val="00CF4C15"/>
    <w:rsid w:val="00CF5EBE"/>
    <w:rsid w:val="00CF6EE7"/>
    <w:rsid w:val="00CF7022"/>
    <w:rsid w:val="00CF7694"/>
    <w:rsid w:val="00D00730"/>
    <w:rsid w:val="00D00CA6"/>
    <w:rsid w:val="00D018A1"/>
    <w:rsid w:val="00D037CF"/>
    <w:rsid w:val="00D04875"/>
    <w:rsid w:val="00D04C1F"/>
    <w:rsid w:val="00D05079"/>
    <w:rsid w:val="00D062CA"/>
    <w:rsid w:val="00D0672D"/>
    <w:rsid w:val="00D07ED3"/>
    <w:rsid w:val="00D10497"/>
    <w:rsid w:val="00D108B3"/>
    <w:rsid w:val="00D10F17"/>
    <w:rsid w:val="00D12042"/>
    <w:rsid w:val="00D151F4"/>
    <w:rsid w:val="00D176C4"/>
    <w:rsid w:val="00D20031"/>
    <w:rsid w:val="00D2086B"/>
    <w:rsid w:val="00D20D68"/>
    <w:rsid w:val="00D226FA"/>
    <w:rsid w:val="00D22E42"/>
    <w:rsid w:val="00D24596"/>
    <w:rsid w:val="00D24ADC"/>
    <w:rsid w:val="00D24AFF"/>
    <w:rsid w:val="00D25C5A"/>
    <w:rsid w:val="00D271EF"/>
    <w:rsid w:val="00D27AD3"/>
    <w:rsid w:val="00D307C4"/>
    <w:rsid w:val="00D30802"/>
    <w:rsid w:val="00D310E8"/>
    <w:rsid w:val="00D31816"/>
    <w:rsid w:val="00D3202A"/>
    <w:rsid w:val="00D32EBD"/>
    <w:rsid w:val="00D34829"/>
    <w:rsid w:val="00D35B66"/>
    <w:rsid w:val="00D3641C"/>
    <w:rsid w:val="00D3644B"/>
    <w:rsid w:val="00D3782B"/>
    <w:rsid w:val="00D41465"/>
    <w:rsid w:val="00D4364B"/>
    <w:rsid w:val="00D4477B"/>
    <w:rsid w:val="00D44DDA"/>
    <w:rsid w:val="00D45A8C"/>
    <w:rsid w:val="00D45D1D"/>
    <w:rsid w:val="00D50848"/>
    <w:rsid w:val="00D52058"/>
    <w:rsid w:val="00D52DA9"/>
    <w:rsid w:val="00D53071"/>
    <w:rsid w:val="00D535A6"/>
    <w:rsid w:val="00D53E2B"/>
    <w:rsid w:val="00D54DB4"/>
    <w:rsid w:val="00D556B6"/>
    <w:rsid w:val="00D56018"/>
    <w:rsid w:val="00D564D6"/>
    <w:rsid w:val="00D56F80"/>
    <w:rsid w:val="00D57B74"/>
    <w:rsid w:val="00D61973"/>
    <w:rsid w:val="00D619E8"/>
    <w:rsid w:val="00D6204D"/>
    <w:rsid w:val="00D62E0B"/>
    <w:rsid w:val="00D63C44"/>
    <w:rsid w:val="00D65D5C"/>
    <w:rsid w:val="00D67243"/>
    <w:rsid w:val="00D67857"/>
    <w:rsid w:val="00D679B7"/>
    <w:rsid w:val="00D71974"/>
    <w:rsid w:val="00D76680"/>
    <w:rsid w:val="00D767BD"/>
    <w:rsid w:val="00D81E61"/>
    <w:rsid w:val="00D86C1E"/>
    <w:rsid w:val="00D9012B"/>
    <w:rsid w:val="00D923BF"/>
    <w:rsid w:val="00D92AA9"/>
    <w:rsid w:val="00D92C4E"/>
    <w:rsid w:val="00D94E57"/>
    <w:rsid w:val="00D95566"/>
    <w:rsid w:val="00D9590B"/>
    <w:rsid w:val="00D96283"/>
    <w:rsid w:val="00D97436"/>
    <w:rsid w:val="00D975D7"/>
    <w:rsid w:val="00D97B20"/>
    <w:rsid w:val="00D97DD3"/>
    <w:rsid w:val="00DA2CD3"/>
    <w:rsid w:val="00DA3208"/>
    <w:rsid w:val="00DA3493"/>
    <w:rsid w:val="00DA3BE3"/>
    <w:rsid w:val="00DA40AF"/>
    <w:rsid w:val="00DA5A76"/>
    <w:rsid w:val="00DA7116"/>
    <w:rsid w:val="00DA7BE0"/>
    <w:rsid w:val="00DB2856"/>
    <w:rsid w:val="00DB3A00"/>
    <w:rsid w:val="00DB4FD6"/>
    <w:rsid w:val="00DB6D4B"/>
    <w:rsid w:val="00DB7B6E"/>
    <w:rsid w:val="00DC1E11"/>
    <w:rsid w:val="00DC2D68"/>
    <w:rsid w:val="00DC3C3E"/>
    <w:rsid w:val="00DC3F83"/>
    <w:rsid w:val="00DC44F0"/>
    <w:rsid w:val="00DC51BD"/>
    <w:rsid w:val="00DC57E7"/>
    <w:rsid w:val="00DC63B0"/>
    <w:rsid w:val="00DC672E"/>
    <w:rsid w:val="00DC6971"/>
    <w:rsid w:val="00DC6B9C"/>
    <w:rsid w:val="00DC6FCD"/>
    <w:rsid w:val="00DD2683"/>
    <w:rsid w:val="00DD5AB6"/>
    <w:rsid w:val="00DD5B64"/>
    <w:rsid w:val="00DD5FFD"/>
    <w:rsid w:val="00DD623C"/>
    <w:rsid w:val="00DD65D8"/>
    <w:rsid w:val="00DD7F7F"/>
    <w:rsid w:val="00DE174A"/>
    <w:rsid w:val="00DE1D55"/>
    <w:rsid w:val="00DE334D"/>
    <w:rsid w:val="00DE420C"/>
    <w:rsid w:val="00DE4840"/>
    <w:rsid w:val="00DE4AA3"/>
    <w:rsid w:val="00DE4B1A"/>
    <w:rsid w:val="00DE5393"/>
    <w:rsid w:val="00DE58A0"/>
    <w:rsid w:val="00DE5AB8"/>
    <w:rsid w:val="00DE5FF9"/>
    <w:rsid w:val="00DE6A35"/>
    <w:rsid w:val="00DE7E0E"/>
    <w:rsid w:val="00DF097C"/>
    <w:rsid w:val="00DF25F9"/>
    <w:rsid w:val="00DF3A24"/>
    <w:rsid w:val="00DF4ACB"/>
    <w:rsid w:val="00DF6607"/>
    <w:rsid w:val="00DF7742"/>
    <w:rsid w:val="00DF7A60"/>
    <w:rsid w:val="00DF7AFC"/>
    <w:rsid w:val="00E01A3C"/>
    <w:rsid w:val="00E04AEB"/>
    <w:rsid w:val="00E0598C"/>
    <w:rsid w:val="00E06013"/>
    <w:rsid w:val="00E06D14"/>
    <w:rsid w:val="00E1142F"/>
    <w:rsid w:val="00E11701"/>
    <w:rsid w:val="00E13529"/>
    <w:rsid w:val="00E15263"/>
    <w:rsid w:val="00E154BA"/>
    <w:rsid w:val="00E15786"/>
    <w:rsid w:val="00E15898"/>
    <w:rsid w:val="00E16A60"/>
    <w:rsid w:val="00E178D8"/>
    <w:rsid w:val="00E17A94"/>
    <w:rsid w:val="00E17B77"/>
    <w:rsid w:val="00E17D4F"/>
    <w:rsid w:val="00E20CEC"/>
    <w:rsid w:val="00E21978"/>
    <w:rsid w:val="00E241E2"/>
    <w:rsid w:val="00E25C0D"/>
    <w:rsid w:val="00E276F8"/>
    <w:rsid w:val="00E30E09"/>
    <w:rsid w:val="00E31160"/>
    <w:rsid w:val="00E327A8"/>
    <w:rsid w:val="00E34976"/>
    <w:rsid w:val="00E35C60"/>
    <w:rsid w:val="00E37616"/>
    <w:rsid w:val="00E37C6F"/>
    <w:rsid w:val="00E40CCB"/>
    <w:rsid w:val="00E41134"/>
    <w:rsid w:val="00E42575"/>
    <w:rsid w:val="00E42C8A"/>
    <w:rsid w:val="00E43E1E"/>
    <w:rsid w:val="00E46D77"/>
    <w:rsid w:val="00E47310"/>
    <w:rsid w:val="00E47BC6"/>
    <w:rsid w:val="00E51D19"/>
    <w:rsid w:val="00E52469"/>
    <w:rsid w:val="00E57142"/>
    <w:rsid w:val="00E572B9"/>
    <w:rsid w:val="00E57F84"/>
    <w:rsid w:val="00E6271D"/>
    <w:rsid w:val="00E63382"/>
    <w:rsid w:val="00E6371C"/>
    <w:rsid w:val="00E65BD0"/>
    <w:rsid w:val="00E672EE"/>
    <w:rsid w:val="00E71ABE"/>
    <w:rsid w:val="00E73B01"/>
    <w:rsid w:val="00E75289"/>
    <w:rsid w:val="00E765DB"/>
    <w:rsid w:val="00E77976"/>
    <w:rsid w:val="00E8010F"/>
    <w:rsid w:val="00E80A8E"/>
    <w:rsid w:val="00E83557"/>
    <w:rsid w:val="00E84DB1"/>
    <w:rsid w:val="00E84E8B"/>
    <w:rsid w:val="00E85434"/>
    <w:rsid w:val="00E86173"/>
    <w:rsid w:val="00E86721"/>
    <w:rsid w:val="00E86AA6"/>
    <w:rsid w:val="00E90208"/>
    <w:rsid w:val="00E92648"/>
    <w:rsid w:val="00E92731"/>
    <w:rsid w:val="00E96C87"/>
    <w:rsid w:val="00E976D2"/>
    <w:rsid w:val="00EA026D"/>
    <w:rsid w:val="00EA267E"/>
    <w:rsid w:val="00EA3138"/>
    <w:rsid w:val="00EA3734"/>
    <w:rsid w:val="00EA4434"/>
    <w:rsid w:val="00EA46E3"/>
    <w:rsid w:val="00EA4C9E"/>
    <w:rsid w:val="00EA508E"/>
    <w:rsid w:val="00EA5F8B"/>
    <w:rsid w:val="00EA62F1"/>
    <w:rsid w:val="00EA6D65"/>
    <w:rsid w:val="00EA7B5F"/>
    <w:rsid w:val="00EB2665"/>
    <w:rsid w:val="00EB42BF"/>
    <w:rsid w:val="00EB54FA"/>
    <w:rsid w:val="00EB5725"/>
    <w:rsid w:val="00EB58AB"/>
    <w:rsid w:val="00EB58DC"/>
    <w:rsid w:val="00EB7D47"/>
    <w:rsid w:val="00EC08F7"/>
    <w:rsid w:val="00EC0C68"/>
    <w:rsid w:val="00EC2559"/>
    <w:rsid w:val="00EC30DC"/>
    <w:rsid w:val="00EC3835"/>
    <w:rsid w:val="00EC3A59"/>
    <w:rsid w:val="00EC46F3"/>
    <w:rsid w:val="00EC4B22"/>
    <w:rsid w:val="00EC505D"/>
    <w:rsid w:val="00EC5145"/>
    <w:rsid w:val="00EC5D45"/>
    <w:rsid w:val="00EC616B"/>
    <w:rsid w:val="00EC716D"/>
    <w:rsid w:val="00ED1E9C"/>
    <w:rsid w:val="00ED31D9"/>
    <w:rsid w:val="00ED3693"/>
    <w:rsid w:val="00ED4209"/>
    <w:rsid w:val="00ED451A"/>
    <w:rsid w:val="00ED4632"/>
    <w:rsid w:val="00ED5719"/>
    <w:rsid w:val="00ED5DC7"/>
    <w:rsid w:val="00ED6D3C"/>
    <w:rsid w:val="00ED7478"/>
    <w:rsid w:val="00ED796C"/>
    <w:rsid w:val="00EE12A1"/>
    <w:rsid w:val="00EE1C4F"/>
    <w:rsid w:val="00EE1FBF"/>
    <w:rsid w:val="00EE34DD"/>
    <w:rsid w:val="00EE3B1A"/>
    <w:rsid w:val="00EE3C6D"/>
    <w:rsid w:val="00EE4616"/>
    <w:rsid w:val="00EE52A1"/>
    <w:rsid w:val="00EE5458"/>
    <w:rsid w:val="00EE6F9A"/>
    <w:rsid w:val="00EE74BF"/>
    <w:rsid w:val="00EF19C4"/>
    <w:rsid w:val="00EF29CC"/>
    <w:rsid w:val="00EF2DEE"/>
    <w:rsid w:val="00EF3966"/>
    <w:rsid w:val="00EF490A"/>
    <w:rsid w:val="00EF4D0F"/>
    <w:rsid w:val="00EF5EB7"/>
    <w:rsid w:val="00F04E11"/>
    <w:rsid w:val="00F05752"/>
    <w:rsid w:val="00F069C2"/>
    <w:rsid w:val="00F11521"/>
    <w:rsid w:val="00F11DA5"/>
    <w:rsid w:val="00F12695"/>
    <w:rsid w:val="00F12C15"/>
    <w:rsid w:val="00F1310E"/>
    <w:rsid w:val="00F136B0"/>
    <w:rsid w:val="00F13866"/>
    <w:rsid w:val="00F13CB4"/>
    <w:rsid w:val="00F14A0D"/>
    <w:rsid w:val="00F16C0F"/>
    <w:rsid w:val="00F17390"/>
    <w:rsid w:val="00F1787A"/>
    <w:rsid w:val="00F17A71"/>
    <w:rsid w:val="00F20A26"/>
    <w:rsid w:val="00F21043"/>
    <w:rsid w:val="00F21259"/>
    <w:rsid w:val="00F21C87"/>
    <w:rsid w:val="00F23748"/>
    <w:rsid w:val="00F24A4E"/>
    <w:rsid w:val="00F26663"/>
    <w:rsid w:val="00F279FD"/>
    <w:rsid w:val="00F301F5"/>
    <w:rsid w:val="00F30E90"/>
    <w:rsid w:val="00F31186"/>
    <w:rsid w:val="00F32184"/>
    <w:rsid w:val="00F32856"/>
    <w:rsid w:val="00F32B86"/>
    <w:rsid w:val="00F3330B"/>
    <w:rsid w:val="00F34094"/>
    <w:rsid w:val="00F3451F"/>
    <w:rsid w:val="00F34820"/>
    <w:rsid w:val="00F3553A"/>
    <w:rsid w:val="00F35C3C"/>
    <w:rsid w:val="00F35E99"/>
    <w:rsid w:val="00F362E4"/>
    <w:rsid w:val="00F364C8"/>
    <w:rsid w:val="00F36FE9"/>
    <w:rsid w:val="00F378D0"/>
    <w:rsid w:val="00F40579"/>
    <w:rsid w:val="00F40944"/>
    <w:rsid w:val="00F41644"/>
    <w:rsid w:val="00F4186F"/>
    <w:rsid w:val="00F441B6"/>
    <w:rsid w:val="00F44296"/>
    <w:rsid w:val="00F44F2C"/>
    <w:rsid w:val="00F46B4D"/>
    <w:rsid w:val="00F475EF"/>
    <w:rsid w:val="00F51162"/>
    <w:rsid w:val="00F51373"/>
    <w:rsid w:val="00F53545"/>
    <w:rsid w:val="00F53764"/>
    <w:rsid w:val="00F53CCB"/>
    <w:rsid w:val="00F545B0"/>
    <w:rsid w:val="00F5483C"/>
    <w:rsid w:val="00F54A5D"/>
    <w:rsid w:val="00F54A8A"/>
    <w:rsid w:val="00F5649D"/>
    <w:rsid w:val="00F5688F"/>
    <w:rsid w:val="00F56FB3"/>
    <w:rsid w:val="00F60915"/>
    <w:rsid w:val="00F60FF8"/>
    <w:rsid w:val="00F61B08"/>
    <w:rsid w:val="00F64718"/>
    <w:rsid w:val="00F65C77"/>
    <w:rsid w:val="00F707E4"/>
    <w:rsid w:val="00F70F43"/>
    <w:rsid w:val="00F71726"/>
    <w:rsid w:val="00F71941"/>
    <w:rsid w:val="00F72C0E"/>
    <w:rsid w:val="00F73AA4"/>
    <w:rsid w:val="00F75775"/>
    <w:rsid w:val="00F76A5A"/>
    <w:rsid w:val="00F76FD7"/>
    <w:rsid w:val="00F77AB3"/>
    <w:rsid w:val="00F77B66"/>
    <w:rsid w:val="00F77EE9"/>
    <w:rsid w:val="00F818F9"/>
    <w:rsid w:val="00F824FB"/>
    <w:rsid w:val="00F83974"/>
    <w:rsid w:val="00F841AB"/>
    <w:rsid w:val="00F84F63"/>
    <w:rsid w:val="00F856AA"/>
    <w:rsid w:val="00F863FC"/>
    <w:rsid w:val="00F8765B"/>
    <w:rsid w:val="00F901D0"/>
    <w:rsid w:val="00F91A89"/>
    <w:rsid w:val="00F91D33"/>
    <w:rsid w:val="00F923F8"/>
    <w:rsid w:val="00F938B4"/>
    <w:rsid w:val="00F96276"/>
    <w:rsid w:val="00F96DE0"/>
    <w:rsid w:val="00FA26EF"/>
    <w:rsid w:val="00FA2FD6"/>
    <w:rsid w:val="00FA3845"/>
    <w:rsid w:val="00FA3D95"/>
    <w:rsid w:val="00FA4312"/>
    <w:rsid w:val="00FA49B6"/>
    <w:rsid w:val="00FA4A53"/>
    <w:rsid w:val="00FA5291"/>
    <w:rsid w:val="00FA6EF5"/>
    <w:rsid w:val="00FA779B"/>
    <w:rsid w:val="00FA7FF7"/>
    <w:rsid w:val="00FB119D"/>
    <w:rsid w:val="00FB15DF"/>
    <w:rsid w:val="00FB1903"/>
    <w:rsid w:val="00FB228E"/>
    <w:rsid w:val="00FB239B"/>
    <w:rsid w:val="00FB3297"/>
    <w:rsid w:val="00FB346D"/>
    <w:rsid w:val="00FB49A2"/>
    <w:rsid w:val="00FB4E20"/>
    <w:rsid w:val="00FB5437"/>
    <w:rsid w:val="00FB767C"/>
    <w:rsid w:val="00FB7F2B"/>
    <w:rsid w:val="00FC116B"/>
    <w:rsid w:val="00FC1790"/>
    <w:rsid w:val="00FC26BC"/>
    <w:rsid w:val="00FC2BE6"/>
    <w:rsid w:val="00FC2CF0"/>
    <w:rsid w:val="00FC2EB1"/>
    <w:rsid w:val="00FC2F0B"/>
    <w:rsid w:val="00FC33E0"/>
    <w:rsid w:val="00FC449B"/>
    <w:rsid w:val="00FC4B87"/>
    <w:rsid w:val="00FC6309"/>
    <w:rsid w:val="00FC69B6"/>
    <w:rsid w:val="00FC77F1"/>
    <w:rsid w:val="00FC7C96"/>
    <w:rsid w:val="00FD00A5"/>
    <w:rsid w:val="00FD083A"/>
    <w:rsid w:val="00FD0C4A"/>
    <w:rsid w:val="00FD1216"/>
    <w:rsid w:val="00FD28EB"/>
    <w:rsid w:val="00FD35CE"/>
    <w:rsid w:val="00FD3765"/>
    <w:rsid w:val="00FD4B29"/>
    <w:rsid w:val="00FD5230"/>
    <w:rsid w:val="00FD5845"/>
    <w:rsid w:val="00FD5DA0"/>
    <w:rsid w:val="00FE0138"/>
    <w:rsid w:val="00FE0A44"/>
    <w:rsid w:val="00FE2030"/>
    <w:rsid w:val="00FE49EC"/>
    <w:rsid w:val="00FE4AEF"/>
    <w:rsid w:val="00FE5A67"/>
    <w:rsid w:val="00FE5B0B"/>
    <w:rsid w:val="00FE5B82"/>
    <w:rsid w:val="00FE614E"/>
    <w:rsid w:val="00FE6D11"/>
    <w:rsid w:val="00FE6E2D"/>
    <w:rsid w:val="00FE6EF5"/>
    <w:rsid w:val="00FF0651"/>
    <w:rsid w:val="00FF216B"/>
    <w:rsid w:val="00FF3FD9"/>
    <w:rsid w:val="00FF40B9"/>
    <w:rsid w:val="00FF521F"/>
    <w:rsid w:val="00FF59CC"/>
    <w:rsid w:val="00FF79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AC8D7"/>
  <w15:docId w15:val="{FB244AEB-883C-42C0-9CEC-0E25432E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uiPriority="2"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7261ED"/>
    <w:pPr>
      <w:overflowPunct w:val="0"/>
      <w:autoSpaceDE w:val="0"/>
      <w:autoSpaceDN w:val="0"/>
      <w:adjustRightInd w:val="0"/>
      <w:jc w:val="both"/>
      <w:textAlignment w:val="baseline"/>
    </w:pPr>
    <w:rPr>
      <w:rFonts w:ascii="Verdana" w:hAnsi="Verdana" w:cs="Arial"/>
      <w:sz w:val="19"/>
    </w:rPr>
  </w:style>
  <w:style w:type="paragraph" w:styleId="Heading1">
    <w:name w:val="heading 1"/>
    <w:basedOn w:val="NoNum"/>
    <w:next w:val="Heading2"/>
    <w:link w:val="Heading1Char"/>
    <w:qFormat/>
    <w:rsid w:val="006F1393"/>
    <w:pPr>
      <w:keepNext/>
      <w:numPr>
        <w:numId w:val="1"/>
      </w:numPr>
      <w:tabs>
        <w:tab w:val="clear" w:pos="0"/>
      </w:tabs>
      <w:outlineLvl w:val="0"/>
    </w:pPr>
    <w:rPr>
      <w:b/>
      <w:caps/>
    </w:rPr>
  </w:style>
  <w:style w:type="paragraph" w:styleId="Heading2">
    <w:name w:val="heading 2"/>
    <w:basedOn w:val="NoNum"/>
    <w:link w:val="Heading2Char"/>
    <w:qFormat/>
    <w:rsid w:val="007261ED"/>
    <w:pPr>
      <w:numPr>
        <w:ilvl w:val="1"/>
        <w:numId w:val="1"/>
      </w:numPr>
      <w:tabs>
        <w:tab w:val="clear" w:pos="0"/>
      </w:tabs>
      <w:outlineLvl w:val="1"/>
    </w:pPr>
  </w:style>
  <w:style w:type="paragraph" w:styleId="Heading3">
    <w:name w:val="heading 3"/>
    <w:basedOn w:val="NoNum"/>
    <w:link w:val="Heading3Char"/>
    <w:qFormat/>
    <w:rsid w:val="007261ED"/>
    <w:pPr>
      <w:numPr>
        <w:ilvl w:val="2"/>
        <w:numId w:val="1"/>
      </w:numPr>
      <w:tabs>
        <w:tab w:val="clear" w:pos="1832"/>
        <w:tab w:val="num" w:pos="0"/>
      </w:tabs>
      <w:ind w:left="1440"/>
      <w:outlineLvl w:val="2"/>
    </w:pPr>
  </w:style>
  <w:style w:type="paragraph" w:styleId="Heading4">
    <w:name w:val="heading 4"/>
    <w:basedOn w:val="NoNum"/>
    <w:link w:val="Heading4Char"/>
    <w:qFormat/>
    <w:rsid w:val="007261ED"/>
    <w:pPr>
      <w:numPr>
        <w:ilvl w:val="3"/>
        <w:numId w:val="1"/>
      </w:numPr>
      <w:tabs>
        <w:tab w:val="clear" w:pos="971"/>
      </w:tabs>
      <w:ind w:left="2160"/>
      <w:outlineLvl w:val="3"/>
    </w:pPr>
  </w:style>
  <w:style w:type="paragraph" w:styleId="Heading5">
    <w:name w:val="heading 5"/>
    <w:basedOn w:val="NoNum"/>
    <w:link w:val="Heading5Char"/>
    <w:qFormat/>
    <w:rsid w:val="007261ED"/>
    <w:pPr>
      <w:numPr>
        <w:ilvl w:val="4"/>
        <w:numId w:val="1"/>
      </w:numPr>
      <w:outlineLvl w:val="4"/>
    </w:pPr>
  </w:style>
  <w:style w:type="paragraph" w:styleId="Heading6">
    <w:name w:val="heading 6"/>
    <w:basedOn w:val="Normal"/>
    <w:next w:val="Normal"/>
    <w:qFormat/>
    <w:rsid w:val="007261ED"/>
    <w:pPr>
      <w:numPr>
        <w:ilvl w:val="5"/>
        <w:numId w:val="1"/>
      </w:numPr>
      <w:tabs>
        <w:tab w:val="left" w:pos="851"/>
        <w:tab w:val="left" w:pos="1701"/>
        <w:tab w:val="left" w:pos="2552"/>
      </w:tabs>
      <w:spacing w:line="360" w:lineRule="auto"/>
      <w:outlineLvl w:val="5"/>
    </w:pPr>
  </w:style>
  <w:style w:type="paragraph" w:styleId="Heading7">
    <w:name w:val="heading 7"/>
    <w:basedOn w:val="Normal"/>
    <w:next w:val="Normal"/>
    <w:qFormat/>
    <w:rsid w:val="007261ED"/>
    <w:pPr>
      <w:numPr>
        <w:ilvl w:val="6"/>
        <w:numId w:val="1"/>
      </w:numPr>
      <w:tabs>
        <w:tab w:val="left" w:pos="851"/>
        <w:tab w:val="left" w:pos="1701"/>
        <w:tab w:val="left" w:pos="2552"/>
      </w:tabs>
      <w:spacing w:line="360" w:lineRule="auto"/>
      <w:outlineLvl w:val="6"/>
    </w:pPr>
  </w:style>
  <w:style w:type="paragraph" w:styleId="Heading8">
    <w:name w:val="heading 8"/>
    <w:basedOn w:val="Normal"/>
    <w:next w:val="Normal"/>
    <w:qFormat/>
    <w:rsid w:val="007261ED"/>
    <w:pPr>
      <w:numPr>
        <w:ilvl w:val="7"/>
        <w:numId w:val="1"/>
      </w:numPr>
      <w:tabs>
        <w:tab w:val="left" w:pos="851"/>
        <w:tab w:val="left" w:pos="1701"/>
        <w:tab w:val="left" w:pos="2552"/>
      </w:tabs>
      <w:spacing w:line="360" w:lineRule="auto"/>
      <w:outlineLvl w:val="7"/>
    </w:pPr>
  </w:style>
  <w:style w:type="paragraph" w:styleId="Heading9">
    <w:name w:val="heading 9"/>
    <w:basedOn w:val="Normal"/>
    <w:next w:val="Normal"/>
    <w:qFormat/>
    <w:rsid w:val="007261ED"/>
    <w:pPr>
      <w:numPr>
        <w:ilvl w:val="8"/>
        <w:numId w:val="1"/>
      </w:numPr>
      <w:tabs>
        <w:tab w:val="left" w:pos="851"/>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61ED"/>
    <w:pPr>
      <w:tabs>
        <w:tab w:val="center" w:pos="4320"/>
        <w:tab w:val="right" w:pos="8640"/>
      </w:tabs>
    </w:pPr>
    <w:rPr>
      <w:sz w:val="16"/>
    </w:rPr>
  </w:style>
  <w:style w:type="paragraph" w:styleId="Header">
    <w:name w:val="header"/>
    <w:basedOn w:val="Normal"/>
    <w:rsid w:val="007261ED"/>
    <w:pPr>
      <w:tabs>
        <w:tab w:val="center" w:pos="4320"/>
        <w:tab w:val="right" w:pos="8640"/>
      </w:tabs>
    </w:pPr>
  </w:style>
  <w:style w:type="paragraph" w:customStyle="1" w:styleId="AffidDocsTable">
    <w:name w:val="Affid Docs Table"/>
    <w:basedOn w:val="Normal"/>
  </w:style>
  <w:style w:type="paragraph" w:customStyle="1" w:styleId="Attestation">
    <w:name w:val="Attestation"/>
    <w:basedOn w:val="Normal"/>
    <w:pPr>
      <w:tabs>
        <w:tab w:val="left" w:pos="3326"/>
      </w:tabs>
      <w:spacing w:line="20" w:lineRule="atLeast"/>
      <w:ind w:right="4896"/>
    </w:pPr>
  </w:style>
  <w:style w:type="paragraph" w:customStyle="1" w:styleId="Border">
    <w:name w:val="Border"/>
    <w:basedOn w:val="Normal"/>
    <w:pPr>
      <w:pBdr>
        <w:top w:val="single" w:sz="18" w:space="1" w:color="auto"/>
        <w:left w:val="single" w:sz="18" w:space="1" w:color="auto"/>
        <w:bottom w:val="single" w:sz="18" w:space="1" w:color="auto"/>
        <w:right w:val="single" w:sz="18" w:space="1" w:color="auto"/>
      </w:pBdr>
    </w:pPr>
  </w:style>
  <w:style w:type="paragraph" w:customStyle="1" w:styleId="SignlineMatsign">
    <w:name w:val="Signline Matsign"/>
    <w:basedOn w:val="Signlineleft"/>
    <w:pPr>
      <w:tabs>
        <w:tab w:val="clear" w:pos="3686"/>
        <w:tab w:val="left" w:pos="4423"/>
      </w:tabs>
      <w:ind w:right="2353"/>
    </w:pPr>
    <w:rPr>
      <w:u w:val="single"/>
    </w:rPr>
  </w:style>
  <w:style w:type="paragraph" w:customStyle="1" w:styleId="Signlineleft">
    <w:name w:val="Signline left"/>
    <w:basedOn w:val="Normal"/>
    <w:pPr>
      <w:tabs>
        <w:tab w:val="left" w:leader="underscore" w:pos="3686"/>
      </w:tabs>
      <w:spacing w:line="1" w:lineRule="atLeast"/>
      <w:ind w:right="2376"/>
      <w:jc w:val="left"/>
    </w:pPr>
  </w:style>
  <w:style w:type="paragraph" w:customStyle="1" w:styleId="FullPgBorder">
    <w:name w:val="Full Pg Border"/>
    <w:basedOn w:val="Normal"/>
  </w:style>
  <w:style w:type="paragraph" w:customStyle="1" w:styleId="InMat">
    <w:name w:val="InMat"/>
    <w:basedOn w:val="Normal"/>
    <w:pPr>
      <w:ind w:left="6577" w:right="-476" w:hanging="1899"/>
    </w:pPr>
  </w:style>
  <w:style w:type="paragraph" w:customStyle="1" w:styleId="Legaldesc">
    <w:name w:val="Legaldesc"/>
    <w:basedOn w:val="Normal"/>
    <w:pPr>
      <w:ind w:left="1440" w:hanging="1440"/>
    </w:pPr>
  </w:style>
  <w:style w:type="paragraph" w:styleId="MacroText">
    <w:name w:val="macro"/>
    <w:link w:val="MacroTextChar"/>
    <w:rsid w:val="007261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onsolas" w:hAnsi="Consolas" w:cs="Arial"/>
    </w:rPr>
  </w:style>
  <w:style w:type="paragraph" w:customStyle="1" w:styleId="NoBorder">
    <w:name w:val="NoBorder"/>
    <w:basedOn w:val="Normal"/>
  </w:style>
  <w:style w:type="paragraph" w:customStyle="1" w:styleId="Signingposright">
    <w:name w:val="Signing pos right"/>
    <w:basedOn w:val="Normal"/>
    <w:rsid w:val="007261ED"/>
    <w:pPr>
      <w:spacing w:line="20" w:lineRule="atLeast"/>
      <w:ind w:left="4320" w:right="662"/>
      <w:jc w:val="left"/>
    </w:pPr>
  </w:style>
  <w:style w:type="paragraph" w:customStyle="1" w:styleId="Signline-crt">
    <w:name w:val="Signline-crt"/>
    <w:basedOn w:val="Normal"/>
    <w:pPr>
      <w:tabs>
        <w:tab w:val="left" w:pos="2127"/>
      </w:tabs>
      <w:ind w:left="1440"/>
    </w:pPr>
  </w:style>
  <w:style w:type="paragraph" w:customStyle="1" w:styleId="Subject">
    <w:name w:val="Subject"/>
    <w:basedOn w:val="Legaldesc"/>
    <w:pPr>
      <w:ind w:left="2880"/>
      <w:jc w:val="left"/>
    </w:pPr>
  </w:style>
  <w:style w:type="paragraph" w:customStyle="1" w:styleId="Subjectto">
    <w:name w:val="Subject to"/>
    <w:basedOn w:val="Subject"/>
    <w:pPr>
      <w:ind w:left="1440" w:firstLine="0"/>
    </w:pPr>
  </w:style>
  <w:style w:type="paragraph" w:customStyle="1" w:styleId="Textright">
    <w:name w:val="Text right"/>
    <w:basedOn w:val="Normal"/>
    <w:rsid w:val="007261ED"/>
    <w:pPr>
      <w:ind w:left="4320"/>
      <w:jc w:val="left"/>
    </w:pPr>
  </w:style>
  <w:style w:type="paragraph" w:customStyle="1" w:styleId="Court">
    <w:name w:val="Court"/>
    <w:basedOn w:val="Normal"/>
    <w:rsid w:val="007261ED"/>
    <w:pPr>
      <w:spacing w:line="360" w:lineRule="auto"/>
    </w:pPr>
  </w:style>
  <w:style w:type="paragraph" w:customStyle="1" w:styleId="Indented">
    <w:name w:val="Indented"/>
    <w:basedOn w:val="Normal"/>
    <w:rsid w:val="007261ED"/>
    <w:pPr>
      <w:ind w:left="720"/>
    </w:pPr>
    <w:rPr>
      <w:szCs w:val="21"/>
    </w:rPr>
  </w:style>
  <w:style w:type="character" w:styleId="PageNumber">
    <w:name w:val="page number"/>
    <w:basedOn w:val="DefaultParagraphFont"/>
    <w:rsid w:val="007261ED"/>
  </w:style>
  <w:style w:type="paragraph" w:customStyle="1" w:styleId="NoNum">
    <w:name w:val="NoNum"/>
    <w:basedOn w:val="Normal"/>
    <w:rsid w:val="007261ED"/>
    <w:pPr>
      <w:spacing w:after="240" w:line="360" w:lineRule="auto"/>
    </w:pPr>
    <w:rPr>
      <w:szCs w:val="21"/>
    </w:rPr>
  </w:style>
  <w:style w:type="paragraph" w:customStyle="1" w:styleId="TabFormat">
    <w:name w:val="TabFormat"/>
    <w:basedOn w:val="Normal"/>
    <w:pPr>
      <w:overflowPunct/>
      <w:autoSpaceDE/>
      <w:autoSpaceDN/>
      <w:adjustRightInd/>
      <w:textAlignment w:val="auto"/>
    </w:pPr>
  </w:style>
  <w:style w:type="paragraph" w:styleId="FootnoteText">
    <w:name w:val="footnote text"/>
    <w:basedOn w:val="Normal"/>
    <w:link w:val="FootnoteTextChar"/>
    <w:semiHidden/>
    <w:rsid w:val="00661F7B"/>
    <w:pPr>
      <w:ind w:left="567" w:hanging="567"/>
    </w:pPr>
    <w:rPr>
      <w:sz w:val="16"/>
    </w:rPr>
  </w:style>
  <w:style w:type="paragraph" w:customStyle="1" w:styleId="mCrtRegInvercargill">
    <w:name w:val="m_CrtReg_Invercargill"/>
    <w:rPr>
      <w:sz w:val="23"/>
      <w:lang w:val="en-GB" w:eastAsia="en-US"/>
    </w:rPr>
  </w:style>
  <w:style w:type="paragraph" w:customStyle="1" w:styleId="NoNumCrt">
    <w:name w:val="NoNumCrt"/>
    <w:basedOn w:val="NoNum"/>
    <w:rsid w:val="00926E17"/>
  </w:style>
  <w:style w:type="paragraph" w:styleId="Quote">
    <w:name w:val="Quote"/>
    <w:basedOn w:val="NoNum"/>
    <w:link w:val="QuoteChar"/>
    <w:uiPriority w:val="1"/>
    <w:qFormat/>
    <w:rsid w:val="00B2681C"/>
    <w:pPr>
      <w:spacing w:line="240" w:lineRule="auto"/>
      <w:ind w:left="1440" w:right="1701"/>
    </w:pPr>
    <w:rPr>
      <w:i/>
      <w:iCs/>
      <w:sz w:val="17"/>
      <w:szCs w:val="16"/>
    </w:rPr>
  </w:style>
  <w:style w:type="character" w:styleId="FootnoteReference">
    <w:name w:val="footnote reference"/>
    <w:basedOn w:val="DefaultParagraphFont"/>
    <w:semiHidden/>
    <w:rsid w:val="00661F7B"/>
    <w:rPr>
      <w:vertAlign w:val="superscript"/>
    </w:rPr>
  </w:style>
  <w:style w:type="character" w:styleId="Hyperlink">
    <w:name w:val="Hyperlink"/>
    <w:basedOn w:val="DefaultParagraphFont"/>
    <w:rsid w:val="007261ED"/>
    <w:rPr>
      <w:color w:val="0563C1" w:themeColor="hyperlink"/>
      <w:u w:val="single"/>
    </w:rPr>
  </w:style>
  <w:style w:type="paragraph" w:styleId="BalloonText">
    <w:name w:val="Balloon Text"/>
    <w:basedOn w:val="Normal"/>
    <w:link w:val="BalloonTextChar"/>
    <w:rsid w:val="007261ED"/>
    <w:rPr>
      <w:rFonts w:ascii="Segoe UI" w:hAnsi="Segoe UI" w:cs="Segoe UI"/>
      <w:sz w:val="18"/>
      <w:szCs w:val="18"/>
    </w:rPr>
  </w:style>
  <w:style w:type="character" w:customStyle="1" w:styleId="BalloonTextChar">
    <w:name w:val="Balloon Text Char"/>
    <w:basedOn w:val="DefaultParagraphFont"/>
    <w:link w:val="BalloonText"/>
    <w:rsid w:val="007261ED"/>
    <w:rPr>
      <w:rFonts w:ascii="Segoe UI" w:hAnsi="Segoe UI" w:cs="Segoe UI"/>
      <w:sz w:val="18"/>
      <w:szCs w:val="18"/>
    </w:rPr>
  </w:style>
  <w:style w:type="paragraph" w:customStyle="1" w:styleId="Default">
    <w:name w:val="Default"/>
    <w:rsid w:val="007A577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7261ED"/>
    <w:rPr>
      <w:sz w:val="16"/>
      <w:szCs w:val="16"/>
    </w:rPr>
  </w:style>
  <w:style w:type="paragraph" w:styleId="CommentText">
    <w:name w:val="annotation text"/>
    <w:basedOn w:val="Normal"/>
    <w:link w:val="CommentTextChar"/>
    <w:rsid w:val="007261ED"/>
    <w:rPr>
      <w:sz w:val="20"/>
    </w:rPr>
  </w:style>
  <w:style w:type="character" w:customStyle="1" w:styleId="CommentTextChar">
    <w:name w:val="Comment Text Char"/>
    <w:basedOn w:val="DefaultParagraphFont"/>
    <w:link w:val="CommentText"/>
    <w:rsid w:val="007261ED"/>
    <w:rPr>
      <w:rFonts w:ascii="Verdana" w:hAnsi="Verdana" w:cs="Arial"/>
    </w:rPr>
  </w:style>
  <w:style w:type="paragraph" w:styleId="CommentSubject">
    <w:name w:val="annotation subject"/>
    <w:basedOn w:val="CommentText"/>
    <w:next w:val="CommentText"/>
    <w:link w:val="CommentSubjectChar"/>
    <w:rsid w:val="007261ED"/>
    <w:rPr>
      <w:b/>
      <w:bCs/>
    </w:rPr>
  </w:style>
  <w:style w:type="character" w:customStyle="1" w:styleId="CommentSubjectChar">
    <w:name w:val="Comment Subject Char"/>
    <w:basedOn w:val="CommentTextChar"/>
    <w:link w:val="CommentSubject"/>
    <w:rsid w:val="007261ED"/>
    <w:rPr>
      <w:rFonts w:ascii="Verdana" w:hAnsi="Verdana" w:cs="Arial"/>
      <w:b/>
      <w:bCs/>
    </w:rPr>
  </w:style>
  <w:style w:type="character" w:customStyle="1" w:styleId="Heading3Char">
    <w:name w:val="Heading 3 Char"/>
    <w:basedOn w:val="DefaultParagraphFont"/>
    <w:link w:val="Heading3"/>
    <w:rsid w:val="005574E5"/>
    <w:rPr>
      <w:rFonts w:ascii="Verdana" w:hAnsi="Verdana" w:cs="Arial"/>
      <w:sz w:val="19"/>
      <w:szCs w:val="21"/>
    </w:rPr>
  </w:style>
  <w:style w:type="paragraph" w:styleId="BodyText">
    <w:name w:val="Body Text"/>
    <w:basedOn w:val="Normal"/>
    <w:link w:val="BodyTextChar"/>
    <w:rsid w:val="007261ED"/>
    <w:pPr>
      <w:spacing w:after="120"/>
    </w:pPr>
  </w:style>
  <w:style w:type="character" w:customStyle="1" w:styleId="BodyTextChar">
    <w:name w:val="Body Text Char"/>
    <w:basedOn w:val="DefaultParagraphFont"/>
    <w:link w:val="BodyText"/>
    <w:rsid w:val="007261ED"/>
    <w:rPr>
      <w:rFonts w:ascii="Verdana" w:hAnsi="Verdana" w:cs="Arial"/>
      <w:sz w:val="19"/>
    </w:rPr>
  </w:style>
  <w:style w:type="paragraph" w:styleId="NormalWeb">
    <w:name w:val="Normal (Web)"/>
    <w:basedOn w:val="Normal"/>
    <w:uiPriority w:val="99"/>
    <w:rsid w:val="007261ED"/>
    <w:rPr>
      <w:rFonts w:ascii="Times New Roman" w:hAnsi="Times New Roman" w:cs="Times New Roman"/>
      <w:sz w:val="24"/>
      <w:szCs w:val="24"/>
    </w:rPr>
  </w:style>
  <w:style w:type="table" w:customStyle="1" w:styleId="BecaTable1">
    <w:name w:val="Beca Table1"/>
    <w:basedOn w:val="TableNormal"/>
    <w:rsid w:val="00F32184"/>
    <w:pPr>
      <w:tabs>
        <w:tab w:val="left" w:pos="425"/>
      </w:tabs>
      <w:suppressAutoHyphens/>
      <w:spacing w:before="60" w:after="60"/>
      <w:contextualSpacing/>
    </w:pPr>
    <w:rPr>
      <w:rFonts w:ascii="Arial" w:hAnsi="Arial"/>
      <w:lang w:val="en-US" w:eastAsia="en-US"/>
    </w:rPr>
    <w:tblPr>
      <w:tblBorders>
        <w:top w:val="single" w:sz="2" w:space="0" w:color="013799"/>
        <w:bottom w:val="single" w:sz="2" w:space="0" w:color="013799"/>
        <w:insideH w:val="single" w:sz="2" w:space="0" w:color="013799"/>
        <w:insideV w:val="single" w:sz="2" w:space="0" w:color="013799"/>
      </w:tblBorders>
    </w:tblPr>
    <w:tblStylePr w:type="firstRow">
      <w:pPr>
        <w:wordWrap/>
        <w:spacing w:beforeLines="0" w:before="120" w:beforeAutospacing="0" w:afterLines="0" w:after="0" w:afterAutospacing="0" w:line="240" w:lineRule="atLeast"/>
        <w:ind w:leftChars="0" w:left="0" w:rightChars="0" w:right="0" w:firstLineChars="0" w:firstLine="0"/>
        <w:contextualSpacing w:val="0"/>
        <w:jc w:val="left"/>
        <w:outlineLvl w:val="9"/>
      </w:pPr>
      <w:rPr>
        <w:rFonts w:ascii="Arial" w:hAnsi="Arial"/>
        <w:b w:val="0"/>
        <w:i w:val="0"/>
        <w:caps w:val="0"/>
        <w:small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cPr>
        <w:tcBorders>
          <w:top w:val="single" w:sz="4" w:space="0" w:color="0069AA"/>
          <w:left w:val="nil"/>
          <w:bottom w:val="single" w:sz="4" w:space="0" w:color="0069AA"/>
          <w:right w:val="nil"/>
          <w:insideH w:val="nil"/>
          <w:insideV w:val="single" w:sz="4" w:space="0" w:color="0069AA"/>
          <w:tl2br w:val="nil"/>
          <w:tr2bl w:val="nil"/>
        </w:tcBorders>
        <w:shd w:val="clear" w:color="auto" w:fill="013799"/>
      </w:tcPr>
    </w:tblStylePr>
  </w:style>
  <w:style w:type="character" w:customStyle="1" w:styleId="ListBulletChar">
    <w:name w:val="List Bullet Char"/>
    <w:link w:val="ListBullet"/>
    <w:locked/>
    <w:rsid w:val="00197D14"/>
    <w:rPr>
      <w:rFonts w:ascii="Verdana" w:hAnsi="Verdana" w:cs="Arial"/>
      <w:sz w:val="19"/>
    </w:rPr>
  </w:style>
  <w:style w:type="paragraph" w:styleId="ListBullet">
    <w:name w:val="List Bullet"/>
    <w:basedOn w:val="Normal"/>
    <w:link w:val="ListBulletChar"/>
    <w:rsid w:val="007261ED"/>
    <w:pPr>
      <w:numPr>
        <w:numId w:val="2"/>
      </w:numPr>
      <w:contextualSpacing/>
    </w:pPr>
  </w:style>
  <w:style w:type="paragraph" w:customStyle="1" w:styleId="TableHeading">
    <w:name w:val="Table Heading"/>
    <w:basedOn w:val="Normal"/>
    <w:next w:val="Normal"/>
    <w:qFormat/>
    <w:rsid w:val="00197D14"/>
    <w:pPr>
      <w:keepNext/>
      <w:keepLines/>
      <w:tabs>
        <w:tab w:val="left" w:pos="425"/>
        <w:tab w:val="left" w:pos="567"/>
        <w:tab w:val="left" w:pos="851"/>
      </w:tabs>
      <w:overflowPunct/>
      <w:autoSpaceDE/>
      <w:autoSpaceDN/>
      <w:adjustRightInd/>
      <w:spacing w:before="60" w:after="60"/>
      <w:jc w:val="left"/>
      <w:textAlignment w:val="auto"/>
    </w:pPr>
    <w:rPr>
      <w:rFonts w:asciiTheme="minorHAnsi" w:eastAsiaTheme="minorHAnsi" w:hAnsiTheme="minorHAnsi" w:cstheme="minorBidi"/>
      <w:b/>
      <w:color w:val="FFFFFF"/>
      <w:kern w:val="28"/>
      <w:sz w:val="22"/>
      <w:szCs w:val="22"/>
      <w:lang w:eastAsia="en-US"/>
    </w:rPr>
  </w:style>
  <w:style w:type="table" w:customStyle="1" w:styleId="BecaTableAccent1">
    <w:name w:val="Beca Table Accent 1"/>
    <w:basedOn w:val="TableNormal"/>
    <w:uiPriority w:val="99"/>
    <w:rsid w:val="00197D14"/>
    <w:rPr>
      <w:rFonts w:ascii="Arial" w:hAnsi="Arial"/>
      <w:sz w:val="18"/>
      <w:lang w:val="en-US" w:eastAsia="en-US"/>
    </w:rPr>
    <w:tblPr>
      <w:tblStyleRowBandSize w:val="1"/>
      <w:tblInd w:w="0" w:type="nil"/>
      <w:tblBorders>
        <w:bottom w:val="single" w:sz="4" w:space="0" w:color="5B9BD5" w:themeColor="accent1"/>
        <w:insideH w:val="single" w:sz="4" w:space="0" w:color="5B9BD5" w:themeColor="accent1"/>
        <w:insideV w:val="single" w:sz="4" w:space="0" w:color="5B9BD5" w:themeColor="accent1"/>
      </w:tblBorders>
    </w:tblPr>
    <w:tcPr>
      <w:shd w:val="clear" w:color="auto" w:fill="FFFFFF" w:themeFill="background1"/>
    </w:tcPr>
    <w:tblStylePr w:type="firstRow">
      <w:pPr>
        <w:wordWrap/>
        <w:spacing w:beforeLines="0" w:before="100" w:beforeAutospacing="1" w:afterLines="0" w:after="100" w:afterAutospacing="1" w:line="260" w:lineRule="atLeast"/>
        <w:ind w:leftChars="0" w:left="0" w:rightChars="0" w:right="0" w:firstLineChars="0" w:firstLine="0"/>
        <w:jc w:val="left"/>
        <w:outlineLvl w:val="9"/>
      </w:pPr>
      <w:rPr>
        <w:rFonts w:ascii="Arial" w:hAnsi="Arial" w:cs="Arial" w:hint="default"/>
        <w:b/>
        <w:color w:val="FFFFFF" w:themeColor="background1"/>
        <w:sz w:val="18"/>
        <w:szCs w:val="18"/>
      </w:rPr>
      <w:tblPr/>
      <w:tcPr>
        <w:shd w:val="clear" w:color="auto" w:fill="5B9BD5" w:themeFill="accent1"/>
      </w:tcPr>
    </w:tblStylePr>
    <w:tblStylePr w:type="band1Horz">
      <w:pPr>
        <w:wordWrap/>
        <w:spacing w:beforeLines="0" w:before="100" w:beforeAutospacing="1" w:afterLines="0" w:after="100" w:afterAutospacing="1" w:line="260" w:lineRule="atLeast"/>
      </w:pPr>
    </w:tblStylePr>
    <w:tblStylePr w:type="band2Horz">
      <w:pPr>
        <w:wordWrap/>
        <w:spacing w:beforeLines="0" w:before="100" w:beforeAutospacing="1" w:afterLines="0" w:after="100" w:afterAutospacing="1" w:line="260" w:lineRule="atLeast"/>
      </w:pPr>
    </w:tblStylePr>
  </w:style>
  <w:style w:type="paragraph" w:styleId="ListParagraph">
    <w:name w:val="List Paragraph"/>
    <w:basedOn w:val="Normal"/>
    <w:uiPriority w:val="34"/>
    <w:qFormat/>
    <w:rsid w:val="007261ED"/>
    <w:pPr>
      <w:ind w:left="720"/>
      <w:contextualSpacing/>
    </w:pPr>
  </w:style>
  <w:style w:type="character" w:customStyle="1" w:styleId="Heading1Char">
    <w:name w:val="Heading 1 Char"/>
    <w:basedOn w:val="DefaultParagraphFont"/>
    <w:link w:val="Heading1"/>
    <w:rsid w:val="006F1393"/>
    <w:rPr>
      <w:rFonts w:ascii="Verdana" w:hAnsi="Verdana" w:cs="Arial"/>
      <w:b/>
      <w:caps/>
      <w:sz w:val="19"/>
      <w:szCs w:val="21"/>
    </w:rPr>
  </w:style>
  <w:style w:type="character" w:customStyle="1" w:styleId="Heading2Char">
    <w:name w:val="Heading 2 Char"/>
    <w:basedOn w:val="DefaultParagraphFont"/>
    <w:link w:val="Heading2"/>
    <w:rsid w:val="004C0950"/>
    <w:rPr>
      <w:rFonts w:ascii="Verdana" w:hAnsi="Verdana" w:cs="Arial"/>
      <w:sz w:val="19"/>
      <w:szCs w:val="21"/>
    </w:rPr>
  </w:style>
  <w:style w:type="character" w:customStyle="1" w:styleId="Heading4Char">
    <w:name w:val="Heading 4 Char"/>
    <w:basedOn w:val="DefaultParagraphFont"/>
    <w:link w:val="Heading4"/>
    <w:rsid w:val="004C0950"/>
    <w:rPr>
      <w:rFonts w:ascii="Verdana" w:hAnsi="Verdana" w:cs="Arial"/>
      <w:sz w:val="19"/>
      <w:szCs w:val="21"/>
    </w:rPr>
  </w:style>
  <w:style w:type="character" w:customStyle="1" w:styleId="Heading5Char">
    <w:name w:val="Heading 5 Char"/>
    <w:basedOn w:val="DefaultParagraphFont"/>
    <w:link w:val="Heading5"/>
    <w:rsid w:val="004C0950"/>
    <w:rPr>
      <w:rFonts w:ascii="Verdana" w:hAnsi="Verdana" w:cs="Arial"/>
      <w:sz w:val="19"/>
      <w:szCs w:val="21"/>
    </w:rPr>
  </w:style>
  <w:style w:type="paragraph" w:customStyle="1" w:styleId="BecaTableTitleandHeading">
    <w:name w:val="Beca Table Title and Heading"/>
    <w:basedOn w:val="Caption"/>
    <w:next w:val="BodyText"/>
    <w:uiPriority w:val="99"/>
    <w:qFormat/>
    <w:rsid w:val="004C0950"/>
    <w:pPr>
      <w:pBdr>
        <w:bottom w:val="single" w:sz="4" w:space="0" w:color="AEAAAA" w:themeColor="background2" w:themeShade="BF"/>
      </w:pBdr>
      <w:spacing w:before="120" w:after="120"/>
    </w:pPr>
    <w:rPr>
      <w:bCs/>
      <w:i w:val="0"/>
      <w:iCs w:val="0"/>
      <w:color w:val="595959" w:themeColor="text1" w:themeTint="A6"/>
    </w:rPr>
  </w:style>
  <w:style w:type="table" w:customStyle="1" w:styleId="BecaTableAccent11">
    <w:name w:val="Beca Table Accent 11"/>
    <w:basedOn w:val="TableNormal"/>
    <w:uiPriority w:val="99"/>
    <w:rsid w:val="004C0950"/>
    <w:rPr>
      <w:rFonts w:ascii="Arial" w:hAnsi="Arial"/>
      <w:sz w:val="18"/>
    </w:rPr>
    <w:tblPr>
      <w:tblStyleRowBandSize w:val="1"/>
      <w:tblBorders>
        <w:bottom w:val="single" w:sz="4" w:space="0" w:color="5B9BD5" w:themeColor="accent1"/>
        <w:insideH w:val="single" w:sz="4" w:space="0" w:color="5B9BD5" w:themeColor="accent1"/>
        <w:insideV w:val="single" w:sz="4" w:space="0" w:color="5B9BD5" w:themeColor="accent1"/>
      </w:tblBorders>
    </w:tblPr>
    <w:tcPr>
      <w:shd w:val="clear" w:color="auto" w:fill="FFFFFF" w:themeFill="background1"/>
    </w:tcPr>
    <w:tblStylePr w:type="firstRow">
      <w:pPr>
        <w:wordWrap/>
        <w:spacing w:beforeLines="0" w:before="120" w:beforeAutospacing="0" w:afterLines="0" w:after="120" w:afterAutospacing="0" w:line="260" w:lineRule="atLeast"/>
        <w:ind w:leftChars="0" w:left="0" w:rightChars="0" w:right="0" w:firstLineChars="0" w:firstLine="0"/>
        <w:contextualSpacing w:val="0"/>
        <w:jc w:val="left"/>
        <w:outlineLvl w:val="9"/>
      </w:pPr>
      <w:rPr>
        <w:rFonts w:ascii="Arial" w:hAnsi="Arial"/>
        <w:b/>
        <w:color w:val="FFFFFF" w:themeColor="background1"/>
        <w:sz w:val="18"/>
      </w:rPr>
      <w:tblPr/>
      <w:trPr>
        <w:tblHeader/>
      </w:trPr>
      <w:tcPr>
        <w:shd w:val="clear" w:color="auto" w:fill="5B9BD5" w:themeFill="accent1"/>
      </w:tcPr>
    </w:tblStylePr>
    <w:tblStylePr w:type="band1Horz">
      <w:pPr>
        <w:wordWrap/>
        <w:spacing w:beforeLines="0" w:before="0" w:beforeAutospacing="0" w:afterLines="0" w:after="60" w:afterAutospacing="0" w:line="260" w:lineRule="atLeast"/>
      </w:pPr>
    </w:tblStylePr>
    <w:tblStylePr w:type="band2Horz">
      <w:pPr>
        <w:wordWrap/>
        <w:spacing w:beforeLines="0" w:before="0" w:beforeAutospacing="0" w:afterLines="0" w:after="60" w:afterAutospacing="0" w:line="260" w:lineRule="atLeast"/>
      </w:pPr>
    </w:tblStylePr>
  </w:style>
  <w:style w:type="paragraph" w:styleId="Caption">
    <w:name w:val="caption"/>
    <w:basedOn w:val="Normal"/>
    <w:next w:val="Normal"/>
    <w:semiHidden/>
    <w:unhideWhenUsed/>
    <w:rsid w:val="007261ED"/>
    <w:pPr>
      <w:spacing w:after="200"/>
    </w:pPr>
    <w:rPr>
      <w:i/>
      <w:iCs/>
      <w:color w:val="44546A" w:themeColor="text2"/>
      <w:sz w:val="18"/>
      <w:szCs w:val="18"/>
    </w:rPr>
  </w:style>
  <w:style w:type="table" w:customStyle="1" w:styleId="BecaTableAccent12">
    <w:name w:val="Beca Table Accent 12"/>
    <w:basedOn w:val="TableNormal"/>
    <w:uiPriority w:val="99"/>
    <w:rsid w:val="004C0950"/>
    <w:rPr>
      <w:rFonts w:ascii="Arial" w:hAnsi="Arial"/>
      <w:sz w:val="18"/>
    </w:rPr>
    <w:tblPr>
      <w:tblStyleRowBandSize w:val="1"/>
      <w:tblBorders>
        <w:bottom w:val="single" w:sz="4" w:space="0" w:color="5B9BD5" w:themeColor="accent1"/>
        <w:insideH w:val="single" w:sz="4" w:space="0" w:color="5B9BD5" w:themeColor="accent1"/>
        <w:insideV w:val="single" w:sz="4" w:space="0" w:color="5B9BD5" w:themeColor="accent1"/>
      </w:tblBorders>
    </w:tblPr>
    <w:tcPr>
      <w:shd w:val="clear" w:color="auto" w:fill="FFFFFF" w:themeFill="background1"/>
    </w:tcPr>
    <w:tblStylePr w:type="firstRow">
      <w:pPr>
        <w:wordWrap/>
        <w:spacing w:beforeLines="0" w:before="120" w:beforeAutospacing="0" w:afterLines="0" w:after="0" w:afterAutospacing="0" w:line="240" w:lineRule="atLeast"/>
        <w:ind w:leftChars="0" w:left="0" w:rightChars="0" w:right="0" w:firstLineChars="0" w:firstLine="0"/>
        <w:contextualSpacing w:val="0"/>
        <w:jc w:val="left"/>
        <w:outlineLvl w:val="9"/>
      </w:pPr>
      <w:rPr>
        <w:rFonts w:ascii="Arial" w:hAnsi="Arial"/>
        <w:b/>
        <w:i w:val="0"/>
        <w:color w:val="FFFFFF"/>
        <w:sz w:val="18"/>
      </w:rPr>
      <w:tblPr/>
      <w:trPr>
        <w:tblHeader/>
      </w:trPr>
      <w:tcPr>
        <w:shd w:val="clear" w:color="auto" w:fill="5B9BD5" w:themeFill="accent1"/>
      </w:tcPr>
    </w:tblStylePr>
    <w:tblStylePr w:type="band1Horz">
      <w:pPr>
        <w:wordWrap/>
        <w:spacing w:beforeLines="0" w:before="0" w:beforeAutospacing="0" w:afterLines="0" w:after="60" w:afterAutospacing="0" w:line="260" w:lineRule="atLeast"/>
      </w:pPr>
    </w:tblStylePr>
    <w:tblStylePr w:type="band2Horz">
      <w:pPr>
        <w:wordWrap/>
        <w:spacing w:beforeLines="0" w:before="0" w:beforeAutospacing="0" w:afterLines="0" w:after="60" w:afterAutospacing="0" w:line="260" w:lineRule="atLeast"/>
      </w:pPr>
    </w:tblStylePr>
  </w:style>
  <w:style w:type="table" w:styleId="TableGrid">
    <w:name w:val="Table Grid"/>
    <w:basedOn w:val="TableNormal"/>
    <w:uiPriority w:val="39"/>
    <w:rsid w:val="004C09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7261ED"/>
    <w:rPr>
      <w:b/>
      <w:bCs/>
    </w:rPr>
  </w:style>
  <w:style w:type="paragraph" w:styleId="Bibliography">
    <w:name w:val="Bibliography"/>
    <w:basedOn w:val="Normal"/>
    <w:next w:val="Normal"/>
    <w:uiPriority w:val="37"/>
    <w:semiHidden/>
    <w:unhideWhenUsed/>
    <w:rsid w:val="007261ED"/>
  </w:style>
  <w:style w:type="paragraph" w:styleId="BlockText">
    <w:name w:val="Block Text"/>
    <w:basedOn w:val="Normal"/>
    <w:rsid w:val="007261ED"/>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rsid w:val="007261ED"/>
    <w:pPr>
      <w:spacing w:after="120" w:line="480" w:lineRule="auto"/>
    </w:pPr>
  </w:style>
  <w:style w:type="character" w:customStyle="1" w:styleId="BodyText2Char">
    <w:name w:val="Body Text 2 Char"/>
    <w:basedOn w:val="DefaultParagraphFont"/>
    <w:link w:val="BodyText2"/>
    <w:rsid w:val="007261ED"/>
    <w:rPr>
      <w:rFonts w:ascii="Verdana" w:hAnsi="Verdana" w:cs="Arial"/>
      <w:sz w:val="19"/>
    </w:rPr>
  </w:style>
  <w:style w:type="paragraph" w:styleId="BodyText3">
    <w:name w:val="Body Text 3"/>
    <w:basedOn w:val="Normal"/>
    <w:link w:val="BodyText3Char"/>
    <w:rsid w:val="007261ED"/>
    <w:pPr>
      <w:spacing w:after="120"/>
    </w:pPr>
    <w:rPr>
      <w:sz w:val="16"/>
      <w:szCs w:val="16"/>
    </w:rPr>
  </w:style>
  <w:style w:type="character" w:customStyle="1" w:styleId="BodyText3Char">
    <w:name w:val="Body Text 3 Char"/>
    <w:basedOn w:val="DefaultParagraphFont"/>
    <w:link w:val="BodyText3"/>
    <w:rsid w:val="007261ED"/>
    <w:rPr>
      <w:rFonts w:ascii="Verdana" w:hAnsi="Verdana" w:cs="Arial"/>
      <w:sz w:val="16"/>
      <w:szCs w:val="16"/>
    </w:rPr>
  </w:style>
  <w:style w:type="paragraph" w:styleId="BodyTextFirstIndent">
    <w:name w:val="Body Text First Indent"/>
    <w:basedOn w:val="BodyText"/>
    <w:link w:val="BodyTextFirstIndentChar"/>
    <w:rsid w:val="007261ED"/>
    <w:pPr>
      <w:spacing w:after="0"/>
      <w:ind w:firstLine="360"/>
    </w:pPr>
  </w:style>
  <w:style w:type="character" w:customStyle="1" w:styleId="BodyTextFirstIndentChar">
    <w:name w:val="Body Text First Indent Char"/>
    <w:basedOn w:val="BodyTextChar"/>
    <w:link w:val="BodyTextFirstIndent"/>
    <w:rsid w:val="007261ED"/>
    <w:rPr>
      <w:rFonts w:ascii="Verdana" w:hAnsi="Verdana" w:cs="Arial"/>
      <w:sz w:val="19"/>
    </w:rPr>
  </w:style>
  <w:style w:type="paragraph" w:styleId="BodyTextIndent">
    <w:name w:val="Body Text Indent"/>
    <w:basedOn w:val="Normal"/>
    <w:link w:val="BodyTextIndentChar"/>
    <w:rsid w:val="007261ED"/>
    <w:pPr>
      <w:spacing w:after="120"/>
      <w:ind w:left="283"/>
    </w:pPr>
  </w:style>
  <w:style w:type="character" w:customStyle="1" w:styleId="BodyTextIndentChar">
    <w:name w:val="Body Text Indent Char"/>
    <w:basedOn w:val="DefaultParagraphFont"/>
    <w:link w:val="BodyTextIndent"/>
    <w:rsid w:val="007261ED"/>
    <w:rPr>
      <w:rFonts w:ascii="Verdana" w:hAnsi="Verdana" w:cs="Arial"/>
      <w:sz w:val="19"/>
    </w:rPr>
  </w:style>
  <w:style w:type="paragraph" w:styleId="BodyTextFirstIndent2">
    <w:name w:val="Body Text First Indent 2"/>
    <w:basedOn w:val="BodyTextIndent"/>
    <w:link w:val="BodyTextFirstIndent2Char"/>
    <w:rsid w:val="007261ED"/>
    <w:pPr>
      <w:spacing w:after="0"/>
      <w:ind w:left="360" w:firstLine="360"/>
    </w:pPr>
  </w:style>
  <w:style w:type="character" w:customStyle="1" w:styleId="BodyTextFirstIndent2Char">
    <w:name w:val="Body Text First Indent 2 Char"/>
    <w:basedOn w:val="BodyTextIndentChar"/>
    <w:link w:val="BodyTextFirstIndent2"/>
    <w:rsid w:val="007261ED"/>
    <w:rPr>
      <w:rFonts w:ascii="Verdana" w:hAnsi="Verdana" w:cs="Arial"/>
      <w:sz w:val="19"/>
    </w:rPr>
  </w:style>
  <w:style w:type="paragraph" w:styleId="BodyTextIndent2">
    <w:name w:val="Body Text Indent 2"/>
    <w:basedOn w:val="Normal"/>
    <w:link w:val="BodyTextIndent2Char"/>
    <w:rsid w:val="007261ED"/>
    <w:pPr>
      <w:spacing w:after="120" w:line="480" w:lineRule="auto"/>
      <w:ind w:left="283"/>
    </w:pPr>
  </w:style>
  <w:style w:type="character" w:customStyle="1" w:styleId="BodyTextIndent2Char">
    <w:name w:val="Body Text Indent 2 Char"/>
    <w:basedOn w:val="DefaultParagraphFont"/>
    <w:link w:val="BodyTextIndent2"/>
    <w:rsid w:val="007261ED"/>
    <w:rPr>
      <w:rFonts w:ascii="Verdana" w:hAnsi="Verdana" w:cs="Arial"/>
      <w:sz w:val="19"/>
    </w:rPr>
  </w:style>
  <w:style w:type="paragraph" w:styleId="BodyTextIndent3">
    <w:name w:val="Body Text Indent 3"/>
    <w:basedOn w:val="Normal"/>
    <w:link w:val="BodyTextIndent3Char"/>
    <w:rsid w:val="007261ED"/>
    <w:pPr>
      <w:spacing w:after="120"/>
      <w:ind w:left="283"/>
    </w:pPr>
    <w:rPr>
      <w:sz w:val="16"/>
      <w:szCs w:val="16"/>
    </w:rPr>
  </w:style>
  <w:style w:type="character" w:customStyle="1" w:styleId="BodyTextIndent3Char">
    <w:name w:val="Body Text Indent 3 Char"/>
    <w:basedOn w:val="DefaultParagraphFont"/>
    <w:link w:val="BodyTextIndent3"/>
    <w:rsid w:val="007261ED"/>
    <w:rPr>
      <w:rFonts w:ascii="Verdana" w:hAnsi="Verdana" w:cs="Arial"/>
      <w:sz w:val="16"/>
      <w:szCs w:val="16"/>
    </w:rPr>
  </w:style>
  <w:style w:type="character" w:styleId="BookTitle">
    <w:name w:val="Book Title"/>
    <w:basedOn w:val="DefaultParagraphFont"/>
    <w:uiPriority w:val="33"/>
    <w:rsid w:val="007261ED"/>
    <w:rPr>
      <w:b/>
      <w:bCs/>
      <w:i/>
      <w:iCs/>
      <w:spacing w:val="5"/>
    </w:rPr>
  </w:style>
  <w:style w:type="paragraph" w:styleId="Closing">
    <w:name w:val="Closing"/>
    <w:basedOn w:val="Normal"/>
    <w:link w:val="ClosingChar"/>
    <w:rsid w:val="007261ED"/>
    <w:pPr>
      <w:ind w:left="4252"/>
    </w:pPr>
  </w:style>
  <w:style w:type="character" w:customStyle="1" w:styleId="ClosingChar">
    <w:name w:val="Closing Char"/>
    <w:basedOn w:val="DefaultParagraphFont"/>
    <w:link w:val="Closing"/>
    <w:rsid w:val="007261ED"/>
    <w:rPr>
      <w:rFonts w:ascii="Verdana" w:hAnsi="Verdana" w:cs="Arial"/>
      <w:sz w:val="19"/>
    </w:rPr>
  </w:style>
  <w:style w:type="paragraph" w:styleId="Date">
    <w:name w:val="Date"/>
    <w:basedOn w:val="Normal"/>
    <w:next w:val="Normal"/>
    <w:link w:val="DateChar"/>
    <w:rsid w:val="007261ED"/>
  </w:style>
  <w:style w:type="character" w:customStyle="1" w:styleId="DateChar">
    <w:name w:val="Date Char"/>
    <w:basedOn w:val="DefaultParagraphFont"/>
    <w:link w:val="Date"/>
    <w:rsid w:val="007261ED"/>
    <w:rPr>
      <w:rFonts w:ascii="Verdana" w:hAnsi="Verdana" w:cs="Arial"/>
      <w:sz w:val="19"/>
    </w:rPr>
  </w:style>
  <w:style w:type="paragraph" w:styleId="DocumentMap">
    <w:name w:val="Document Map"/>
    <w:basedOn w:val="Normal"/>
    <w:link w:val="DocumentMapChar"/>
    <w:rsid w:val="007261ED"/>
    <w:rPr>
      <w:rFonts w:ascii="Segoe UI" w:hAnsi="Segoe UI" w:cs="Segoe UI"/>
      <w:sz w:val="16"/>
      <w:szCs w:val="16"/>
    </w:rPr>
  </w:style>
  <w:style w:type="character" w:customStyle="1" w:styleId="DocumentMapChar">
    <w:name w:val="Document Map Char"/>
    <w:basedOn w:val="DefaultParagraphFont"/>
    <w:link w:val="DocumentMap"/>
    <w:rsid w:val="007261ED"/>
    <w:rPr>
      <w:rFonts w:ascii="Segoe UI" w:hAnsi="Segoe UI" w:cs="Segoe UI"/>
      <w:sz w:val="16"/>
      <w:szCs w:val="16"/>
    </w:rPr>
  </w:style>
  <w:style w:type="paragraph" w:styleId="E-mailSignature">
    <w:name w:val="E-mail Signature"/>
    <w:basedOn w:val="Normal"/>
    <w:link w:val="E-mailSignatureChar"/>
    <w:rsid w:val="007261ED"/>
  </w:style>
  <w:style w:type="character" w:customStyle="1" w:styleId="E-mailSignatureChar">
    <w:name w:val="E-mail Signature Char"/>
    <w:basedOn w:val="DefaultParagraphFont"/>
    <w:link w:val="E-mailSignature"/>
    <w:rsid w:val="007261ED"/>
    <w:rPr>
      <w:rFonts w:ascii="Verdana" w:hAnsi="Verdana" w:cs="Arial"/>
      <w:sz w:val="19"/>
    </w:rPr>
  </w:style>
  <w:style w:type="character" w:styleId="Emphasis">
    <w:name w:val="Emphasis"/>
    <w:basedOn w:val="DefaultParagraphFont"/>
    <w:uiPriority w:val="20"/>
    <w:qFormat/>
    <w:rsid w:val="007261ED"/>
    <w:rPr>
      <w:i/>
      <w:iCs/>
    </w:rPr>
  </w:style>
  <w:style w:type="character" w:styleId="EndnoteReference">
    <w:name w:val="endnote reference"/>
    <w:basedOn w:val="DefaultParagraphFont"/>
    <w:rsid w:val="007261ED"/>
    <w:rPr>
      <w:vertAlign w:val="superscript"/>
    </w:rPr>
  </w:style>
  <w:style w:type="paragraph" w:styleId="EndnoteText">
    <w:name w:val="endnote text"/>
    <w:basedOn w:val="Normal"/>
    <w:link w:val="EndnoteTextChar"/>
    <w:rsid w:val="007261ED"/>
    <w:rPr>
      <w:sz w:val="20"/>
    </w:rPr>
  </w:style>
  <w:style w:type="character" w:customStyle="1" w:styleId="EndnoteTextChar">
    <w:name w:val="Endnote Text Char"/>
    <w:basedOn w:val="DefaultParagraphFont"/>
    <w:link w:val="EndnoteText"/>
    <w:rsid w:val="007261ED"/>
    <w:rPr>
      <w:rFonts w:ascii="Verdana" w:hAnsi="Verdana" w:cs="Arial"/>
    </w:rPr>
  </w:style>
  <w:style w:type="paragraph" w:styleId="EnvelopeAddress">
    <w:name w:val="envelope address"/>
    <w:basedOn w:val="Normal"/>
    <w:rsid w:val="007261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7261ED"/>
    <w:rPr>
      <w:rFonts w:asciiTheme="majorHAnsi" w:eastAsiaTheme="majorEastAsia" w:hAnsiTheme="majorHAnsi" w:cstheme="majorBidi"/>
      <w:sz w:val="20"/>
    </w:rPr>
  </w:style>
  <w:style w:type="character" w:styleId="FollowedHyperlink">
    <w:name w:val="FollowedHyperlink"/>
    <w:basedOn w:val="DefaultParagraphFont"/>
    <w:rsid w:val="007261ED"/>
    <w:rPr>
      <w:color w:val="954F72" w:themeColor="followedHyperlink"/>
      <w:u w:val="single"/>
    </w:rPr>
  </w:style>
  <w:style w:type="character" w:customStyle="1" w:styleId="Hashtag1">
    <w:name w:val="Hashtag1"/>
    <w:basedOn w:val="DefaultParagraphFont"/>
    <w:uiPriority w:val="99"/>
    <w:semiHidden/>
    <w:unhideWhenUsed/>
    <w:rsid w:val="00437DF3"/>
    <w:rPr>
      <w:color w:val="2B579A"/>
      <w:shd w:val="clear" w:color="auto" w:fill="E6E6E6"/>
    </w:rPr>
  </w:style>
  <w:style w:type="character" w:styleId="HTMLAcronym">
    <w:name w:val="HTML Acronym"/>
    <w:basedOn w:val="DefaultParagraphFont"/>
    <w:rsid w:val="007261ED"/>
  </w:style>
  <w:style w:type="paragraph" w:styleId="HTMLAddress">
    <w:name w:val="HTML Address"/>
    <w:basedOn w:val="Normal"/>
    <w:link w:val="HTMLAddressChar"/>
    <w:rsid w:val="007261ED"/>
    <w:rPr>
      <w:i/>
      <w:iCs/>
    </w:rPr>
  </w:style>
  <w:style w:type="character" w:customStyle="1" w:styleId="HTMLAddressChar">
    <w:name w:val="HTML Address Char"/>
    <w:basedOn w:val="DefaultParagraphFont"/>
    <w:link w:val="HTMLAddress"/>
    <w:rsid w:val="007261ED"/>
    <w:rPr>
      <w:rFonts w:ascii="Verdana" w:hAnsi="Verdana" w:cs="Arial"/>
      <w:i/>
      <w:iCs/>
      <w:sz w:val="19"/>
    </w:rPr>
  </w:style>
  <w:style w:type="character" w:styleId="HTMLCite">
    <w:name w:val="HTML Cite"/>
    <w:basedOn w:val="DefaultParagraphFont"/>
    <w:rsid w:val="007261ED"/>
    <w:rPr>
      <w:i/>
      <w:iCs/>
    </w:rPr>
  </w:style>
  <w:style w:type="character" w:styleId="HTMLCode">
    <w:name w:val="HTML Code"/>
    <w:basedOn w:val="DefaultParagraphFont"/>
    <w:rsid w:val="007261ED"/>
    <w:rPr>
      <w:rFonts w:ascii="Consolas" w:hAnsi="Consolas"/>
      <w:sz w:val="20"/>
      <w:szCs w:val="20"/>
    </w:rPr>
  </w:style>
  <w:style w:type="character" w:styleId="HTMLDefinition">
    <w:name w:val="HTML Definition"/>
    <w:basedOn w:val="DefaultParagraphFont"/>
    <w:rsid w:val="007261ED"/>
    <w:rPr>
      <w:i/>
      <w:iCs/>
    </w:rPr>
  </w:style>
  <w:style w:type="character" w:styleId="HTMLKeyboard">
    <w:name w:val="HTML Keyboard"/>
    <w:basedOn w:val="DefaultParagraphFont"/>
    <w:rsid w:val="007261ED"/>
    <w:rPr>
      <w:rFonts w:ascii="Consolas" w:hAnsi="Consolas"/>
      <w:sz w:val="20"/>
      <w:szCs w:val="20"/>
    </w:rPr>
  </w:style>
  <w:style w:type="paragraph" w:styleId="HTMLPreformatted">
    <w:name w:val="HTML Preformatted"/>
    <w:basedOn w:val="Normal"/>
    <w:link w:val="HTMLPreformattedChar"/>
    <w:rsid w:val="007261ED"/>
    <w:rPr>
      <w:rFonts w:ascii="Consolas" w:hAnsi="Consolas"/>
      <w:sz w:val="20"/>
    </w:rPr>
  </w:style>
  <w:style w:type="character" w:customStyle="1" w:styleId="HTMLPreformattedChar">
    <w:name w:val="HTML Preformatted Char"/>
    <w:basedOn w:val="DefaultParagraphFont"/>
    <w:link w:val="HTMLPreformatted"/>
    <w:rsid w:val="007261ED"/>
    <w:rPr>
      <w:rFonts w:ascii="Consolas" w:hAnsi="Consolas" w:cs="Arial"/>
    </w:rPr>
  </w:style>
  <w:style w:type="character" w:styleId="HTMLSample">
    <w:name w:val="HTML Sample"/>
    <w:basedOn w:val="DefaultParagraphFont"/>
    <w:rsid w:val="007261ED"/>
    <w:rPr>
      <w:rFonts w:ascii="Consolas" w:hAnsi="Consolas"/>
      <w:sz w:val="24"/>
      <w:szCs w:val="24"/>
    </w:rPr>
  </w:style>
  <w:style w:type="character" w:styleId="HTMLTypewriter">
    <w:name w:val="HTML Typewriter"/>
    <w:basedOn w:val="DefaultParagraphFont"/>
    <w:rsid w:val="007261ED"/>
    <w:rPr>
      <w:rFonts w:ascii="Consolas" w:hAnsi="Consolas"/>
      <w:sz w:val="20"/>
      <w:szCs w:val="20"/>
    </w:rPr>
  </w:style>
  <w:style w:type="character" w:styleId="HTMLVariable">
    <w:name w:val="HTML Variable"/>
    <w:basedOn w:val="DefaultParagraphFont"/>
    <w:rsid w:val="007261ED"/>
    <w:rPr>
      <w:i/>
      <w:iCs/>
    </w:rPr>
  </w:style>
  <w:style w:type="paragraph" w:styleId="Index1">
    <w:name w:val="index 1"/>
    <w:basedOn w:val="Normal"/>
    <w:next w:val="Normal"/>
    <w:autoRedefine/>
    <w:rsid w:val="007261ED"/>
    <w:pPr>
      <w:ind w:left="190" w:hanging="190"/>
    </w:pPr>
  </w:style>
  <w:style w:type="paragraph" w:styleId="Index2">
    <w:name w:val="index 2"/>
    <w:basedOn w:val="Normal"/>
    <w:next w:val="Normal"/>
    <w:autoRedefine/>
    <w:rsid w:val="007261ED"/>
    <w:pPr>
      <w:ind w:left="380" w:hanging="190"/>
    </w:pPr>
  </w:style>
  <w:style w:type="paragraph" w:styleId="Index3">
    <w:name w:val="index 3"/>
    <w:basedOn w:val="Normal"/>
    <w:next w:val="Normal"/>
    <w:autoRedefine/>
    <w:rsid w:val="007261ED"/>
    <w:pPr>
      <w:ind w:left="570" w:hanging="190"/>
    </w:pPr>
  </w:style>
  <w:style w:type="paragraph" w:styleId="Index4">
    <w:name w:val="index 4"/>
    <w:basedOn w:val="Normal"/>
    <w:next w:val="Normal"/>
    <w:autoRedefine/>
    <w:rsid w:val="007261ED"/>
    <w:pPr>
      <w:ind w:left="760" w:hanging="190"/>
    </w:pPr>
  </w:style>
  <w:style w:type="paragraph" w:styleId="Index5">
    <w:name w:val="index 5"/>
    <w:basedOn w:val="Normal"/>
    <w:next w:val="Normal"/>
    <w:autoRedefine/>
    <w:rsid w:val="007261ED"/>
    <w:pPr>
      <w:ind w:left="950" w:hanging="190"/>
    </w:pPr>
  </w:style>
  <w:style w:type="paragraph" w:styleId="Index6">
    <w:name w:val="index 6"/>
    <w:basedOn w:val="Normal"/>
    <w:next w:val="Normal"/>
    <w:autoRedefine/>
    <w:rsid w:val="007261ED"/>
    <w:pPr>
      <w:ind w:left="1140" w:hanging="190"/>
    </w:pPr>
  </w:style>
  <w:style w:type="paragraph" w:styleId="Index7">
    <w:name w:val="index 7"/>
    <w:basedOn w:val="Normal"/>
    <w:next w:val="Normal"/>
    <w:autoRedefine/>
    <w:rsid w:val="007261ED"/>
    <w:pPr>
      <w:ind w:left="1330" w:hanging="190"/>
    </w:pPr>
  </w:style>
  <w:style w:type="paragraph" w:styleId="Index8">
    <w:name w:val="index 8"/>
    <w:basedOn w:val="Normal"/>
    <w:next w:val="Normal"/>
    <w:autoRedefine/>
    <w:rsid w:val="007261ED"/>
    <w:pPr>
      <w:ind w:left="1520" w:hanging="190"/>
    </w:pPr>
  </w:style>
  <w:style w:type="paragraph" w:styleId="Index9">
    <w:name w:val="index 9"/>
    <w:basedOn w:val="Normal"/>
    <w:next w:val="Normal"/>
    <w:autoRedefine/>
    <w:rsid w:val="007261ED"/>
    <w:pPr>
      <w:ind w:left="1710" w:hanging="190"/>
    </w:pPr>
  </w:style>
  <w:style w:type="paragraph" w:styleId="IndexHeading">
    <w:name w:val="index heading"/>
    <w:basedOn w:val="Normal"/>
    <w:next w:val="Index1"/>
    <w:rsid w:val="007261ED"/>
    <w:rPr>
      <w:rFonts w:asciiTheme="majorHAnsi" w:eastAsiaTheme="majorEastAsia" w:hAnsiTheme="majorHAnsi" w:cstheme="majorBidi"/>
      <w:b/>
      <w:bCs/>
    </w:rPr>
  </w:style>
  <w:style w:type="character" w:styleId="IntenseEmphasis">
    <w:name w:val="Intense Emphasis"/>
    <w:basedOn w:val="DefaultParagraphFont"/>
    <w:uiPriority w:val="21"/>
    <w:rsid w:val="007261ED"/>
    <w:rPr>
      <w:i/>
      <w:iCs/>
      <w:color w:val="5B9BD5" w:themeColor="accent1"/>
    </w:rPr>
  </w:style>
  <w:style w:type="paragraph" w:styleId="IntenseQuote">
    <w:name w:val="Intense Quote"/>
    <w:basedOn w:val="Normal"/>
    <w:next w:val="Normal"/>
    <w:link w:val="IntenseQuoteChar"/>
    <w:uiPriority w:val="30"/>
    <w:rsid w:val="007261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261ED"/>
    <w:rPr>
      <w:rFonts w:ascii="Verdana" w:hAnsi="Verdana" w:cs="Arial"/>
      <w:i/>
      <w:iCs/>
      <w:color w:val="5B9BD5" w:themeColor="accent1"/>
      <w:sz w:val="19"/>
    </w:rPr>
  </w:style>
  <w:style w:type="character" w:styleId="IntenseReference">
    <w:name w:val="Intense Reference"/>
    <w:basedOn w:val="DefaultParagraphFont"/>
    <w:uiPriority w:val="32"/>
    <w:rsid w:val="007261ED"/>
    <w:rPr>
      <w:b/>
      <w:bCs/>
      <w:smallCaps/>
      <w:color w:val="5B9BD5" w:themeColor="accent1"/>
      <w:spacing w:val="5"/>
    </w:rPr>
  </w:style>
  <w:style w:type="character" w:styleId="LineNumber">
    <w:name w:val="line number"/>
    <w:basedOn w:val="DefaultParagraphFont"/>
    <w:rsid w:val="007261ED"/>
  </w:style>
  <w:style w:type="paragraph" w:styleId="List">
    <w:name w:val="List"/>
    <w:basedOn w:val="Normal"/>
    <w:rsid w:val="007261ED"/>
    <w:pPr>
      <w:ind w:left="283" w:hanging="283"/>
      <w:contextualSpacing/>
    </w:pPr>
  </w:style>
  <w:style w:type="paragraph" w:styleId="List2">
    <w:name w:val="List 2"/>
    <w:basedOn w:val="Normal"/>
    <w:rsid w:val="007261ED"/>
    <w:pPr>
      <w:ind w:left="566" w:hanging="283"/>
      <w:contextualSpacing/>
    </w:pPr>
  </w:style>
  <w:style w:type="paragraph" w:styleId="List3">
    <w:name w:val="List 3"/>
    <w:basedOn w:val="Normal"/>
    <w:rsid w:val="007261ED"/>
    <w:pPr>
      <w:ind w:left="849" w:hanging="283"/>
      <w:contextualSpacing/>
    </w:pPr>
  </w:style>
  <w:style w:type="paragraph" w:styleId="List4">
    <w:name w:val="List 4"/>
    <w:basedOn w:val="Normal"/>
    <w:rsid w:val="007261ED"/>
    <w:pPr>
      <w:ind w:left="1132" w:hanging="283"/>
      <w:contextualSpacing/>
    </w:pPr>
  </w:style>
  <w:style w:type="paragraph" w:styleId="List5">
    <w:name w:val="List 5"/>
    <w:basedOn w:val="Normal"/>
    <w:rsid w:val="007261ED"/>
    <w:pPr>
      <w:ind w:left="1415" w:hanging="283"/>
      <w:contextualSpacing/>
    </w:pPr>
  </w:style>
  <w:style w:type="paragraph" w:styleId="ListBullet2">
    <w:name w:val="List Bullet 2"/>
    <w:basedOn w:val="Normal"/>
    <w:rsid w:val="007261ED"/>
    <w:pPr>
      <w:numPr>
        <w:numId w:val="3"/>
      </w:numPr>
      <w:contextualSpacing/>
    </w:pPr>
  </w:style>
  <w:style w:type="paragraph" w:styleId="ListBullet3">
    <w:name w:val="List Bullet 3"/>
    <w:basedOn w:val="Normal"/>
    <w:rsid w:val="007261ED"/>
    <w:pPr>
      <w:numPr>
        <w:numId w:val="4"/>
      </w:numPr>
      <w:contextualSpacing/>
    </w:pPr>
  </w:style>
  <w:style w:type="paragraph" w:styleId="ListBullet4">
    <w:name w:val="List Bullet 4"/>
    <w:basedOn w:val="Normal"/>
    <w:rsid w:val="007261ED"/>
    <w:pPr>
      <w:numPr>
        <w:numId w:val="5"/>
      </w:numPr>
      <w:contextualSpacing/>
    </w:pPr>
  </w:style>
  <w:style w:type="paragraph" w:styleId="ListBullet5">
    <w:name w:val="List Bullet 5"/>
    <w:basedOn w:val="Normal"/>
    <w:rsid w:val="007261ED"/>
    <w:pPr>
      <w:numPr>
        <w:numId w:val="6"/>
      </w:numPr>
      <w:contextualSpacing/>
    </w:pPr>
  </w:style>
  <w:style w:type="paragraph" w:styleId="ListContinue">
    <w:name w:val="List Continue"/>
    <w:basedOn w:val="Normal"/>
    <w:rsid w:val="007261ED"/>
    <w:pPr>
      <w:spacing w:after="120"/>
      <w:ind w:left="283"/>
      <w:contextualSpacing/>
    </w:pPr>
  </w:style>
  <w:style w:type="paragraph" w:styleId="ListContinue2">
    <w:name w:val="List Continue 2"/>
    <w:basedOn w:val="Normal"/>
    <w:rsid w:val="007261ED"/>
    <w:pPr>
      <w:spacing w:after="120"/>
      <w:ind w:left="566"/>
      <w:contextualSpacing/>
    </w:pPr>
  </w:style>
  <w:style w:type="paragraph" w:styleId="ListContinue3">
    <w:name w:val="List Continue 3"/>
    <w:basedOn w:val="Normal"/>
    <w:rsid w:val="007261ED"/>
    <w:pPr>
      <w:spacing w:after="120"/>
      <w:ind w:left="849"/>
      <w:contextualSpacing/>
    </w:pPr>
  </w:style>
  <w:style w:type="paragraph" w:styleId="ListContinue4">
    <w:name w:val="List Continue 4"/>
    <w:basedOn w:val="Normal"/>
    <w:rsid w:val="007261ED"/>
    <w:pPr>
      <w:spacing w:after="120"/>
      <w:ind w:left="1132"/>
      <w:contextualSpacing/>
    </w:pPr>
  </w:style>
  <w:style w:type="paragraph" w:styleId="ListContinue5">
    <w:name w:val="List Continue 5"/>
    <w:basedOn w:val="Normal"/>
    <w:rsid w:val="007261ED"/>
    <w:pPr>
      <w:spacing w:after="120"/>
      <w:ind w:left="1415"/>
      <w:contextualSpacing/>
    </w:pPr>
  </w:style>
  <w:style w:type="paragraph" w:styleId="ListNumber">
    <w:name w:val="List Number"/>
    <w:basedOn w:val="Normal"/>
    <w:rsid w:val="007261ED"/>
    <w:pPr>
      <w:numPr>
        <w:numId w:val="7"/>
      </w:numPr>
      <w:contextualSpacing/>
    </w:pPr>
  </w:style>
  <w:style w:type="paragraph" w:styleId="ListNumber2">
    <w:name w:val="List Number 2"/>
    <w:basedOn w:val="Normal"/>
    <w:rsid w:val="007261ED"/>
    <w:pPr>
      <w:numPr>
        <w:numId w:val="8"/>
      </w:numPr>
      <w:contextualSpacing/>
    </w:pPr>
  </w:style>
  <w:style w:type="paragraph" w:styleId="ListNumber3">
    <w:name w:val="List Number 3"/>
    <w:basedOn w:val="Normal"/>
    <w:rsid w:val="007261ED"/>
    <w:pPr>
      <w:numPr>
        <w:numId w:val="9"/>
      </w:numPr>
      <w:contextualSpacing/>
    </w:pPr>
  </w:style>
  <w:style w:type="paragraph" w:styleId="ListNumber4">
    <w:name w:val="List Number 4"/>
    <w:basedOn w:val="Normal"/>
    <w:rsid w:val="007261ED"/>
    <w:pPr>
      <w:numPr>
        <w:numId w:val="10"/>
      </w:numPr>
      <w:contextualSpacing/>
    </w:pPr>
  </w:style>
  <w:style w:type="paragraph" w:styleId="ListNumber5">
    <w:name w:val="List Number 5"/>
    <w:basedOn w:val="Normal"/>
    <w:rsid w:val="007261ED"/>
    <w:pPr>
      <w:numPr>
        <w:numId w:val="11"/>
      </w:numPr>
      <w:contextualSpacing/>
    </w:pPr>
  </w:style>
  <w:style w:type="character" w:customStyle="1" w:styleId="MacroTextChar">
    <w:name w:val="Macro Text Char"/>
    <w:basedOn w:val="DefaultParagraphFont"/>
    <w:link w:val="MacroText"/>
    <w:rsid w:val="007261ED"/>
    <w:rPr>
      <w:rFonts w:ascii="Consolas" w:hAnsi="Consolas" w:cs="Arial"/>
    </w:rPr>
  </w:style>
  <w:style w:type="character" w:customStyle="1" w:styleId="Mention1">
    <w:name w:val="Mention1"/>
    <w:basedOn w:val="DefaultParagraphFont"/>
    <w:uiPriority w:val="99"/>
    <w:semiHidden/>
    <w:unhideWhenUsed/>
    <w:rsid w:val="00437DF3"/>
    <w:rPr>
      <w:color w:val="2B579A"/>
      <w:shd w:val="clear" w:color="auto" w:fill="E6E6E6"/>
    </w:rPr>
  </w:style>
  <w:style w:type="paragraph" w:styleId="MessageHeader">
    <w:name w:val="Message Header"/>
    <w:basedOn w:val="Normal"/>
    <w:link w:val="MessageHeaderChar"/>
    <w:rsid w:val="007261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261ED"/>
    <w:rPr>
      <w:rFonts w:asciiTheme="majorHAnsi" w:eastAsiaTheme="majorEastAsia" w:hAnsiTheme="majorHAnsi" w:cstheme="majorBidi"/>
      <w:sz w:val="24"/>
      <w:szCs w:val="24"/>
      <w:shd w:val="pct20" w:color="auto" w:fill="auto"/>
    </w:rPr>
  </w:style>
  <w:style w:type="paragraph" w:styleId="NoSpacing">
    <w:name w:val="No Spacing"/>
    <w:uiPriority w:val="1"/>
    <w:rsid w:val="007261ED"/>
    <w:pPr>
      <w:overflowPunct w:val="0"/>
      <w:autoSpaceDE w:val="0"/>
      <w:autoSpaceDN w:val="0"/>
      <w:adjustRightInd w:val="0"/>
      <w:jc w:val="both"/>
      <w:textAlignment w:val="baseline"/>
    </w:pPr>
    <w:rPr>
      <w:rFonts w:ascii="Verdana" w:hAnsi="Verdana" w:cs="Arial"/>
      <w:sz w:val="19"/>
    </w:rPr>
  </w:style>
  <w:style w:type="paragraph" w:styleId="NormalIndent">
    <w:name w:val="Normal Indent"/>
    <w:basedOn w:val="Normal"/>
    <w:rsid w:val="007261ED"/>
    <w:pPr>
      <w:ind w:left="720"/>
    </w:pPr>
  </w:style>
  <w:style w:type="paragraph" w:styleId="NoteHeading">
    <w:name w:val="Note Heading"/>
    <w:basedOn w:val="Normal"/>
    <w:next w:val="Normal"/>
    <w:link w:val="NoteHeadingChar"/>
    <w:rsid w:val="007261ED"/>
  </w:style>
  <w:style w:type="character" w:customStyle="1" w:styleId="NoteHeadingChar">
    <w:name w:val="Note Heading Char"/>
    <w:basedOn w:val="DefaultParagraphFont"/>
    <w:link w:val="NoteHeading"/>
    <w:rsid w:val="007261ED"/>
    <w:rPr>
      <w:rFonts w:ascii="Verdana" w:hAnsi="Verdana" w:cs="Arial"/>
      <w:sz w:val="19"/>
    </w:rPr>
  </w:style>
  <w:style w:type="character" w:styleId="PlaceholderText">
    <w:name w:val="Placeholder Text"/>
    <w:basedOn w:val="DefaultParagraphFont"/>
    <w:uiPriority w:val="99"/>
    <w:semiHidden/>
    <w:rsid w:val="007261ED"/>
    <w:rPr>
      <w:color w:val="808080"/>
    </w:rPr>
  </w:style>
  <w:style w:type="paragraph" w:styleId="PlainText">
    <w:name w:val="Plain Text"/>
    <w:basedOn w:val="Normal"/>
    <w:link w:val="PlainTextChar"/>
    <w:rsid w:val="007261ED"/>
    <w:rPr>
      <w:rFonts w:ascii="Consolas" w:hAnsi="Consolas"/>
      <w:sz w:val="21"/>
      <w:szCs w:val="21"/>
    </w:rPr>
  </w:style>
  <w:style w:type="character" w:customStyle="1" w:styleId="PlainTextChar">
    <w:name w:val="Plain Text Char"/>
    <w:basedOn w:val="DefaultParagraphFont"/>
    <w:link w:val="PlainText"/>
    <w:rsid w:val="007261ED"/>
    <w:rPr>
      <w:rFonts w:ascii="Consolas" w:hAnsi="Consolas" w:cs="Arial"/>
      <w:sz w:val="21"/>
      <w:szCs w:val="21"/>
    </w:rPr>
  </w:style>
  <w:style w:type="paragraph" w:styleId="Salutation">
    <w:name w:val="Salutation"/>
    <w:basedOn w:val="Normal"/>
    <w:next w:val="Normal"/>
    <w:link w:val="SalutationChar"/>
    <w:rsid w:val="007261ED"/>
  </w:style>
  <w:style w:type="character" w:customStyle="1" w:styleId="SalutationChar">
    <w:name w:val="Salutation Char"/>
    <w:basedOn w:val="DefaultParagraphFont"/>
    <w:link w:val="Salutation"/>
    <w:rsid w:val="007261ED"/>
    <w:rPr>
      <w:rFonts w:ascii="Verdana" w:hAnsi="Verdana" w:cs="Arial"/>
      <w:sz w:val="19"/>
    </w:rPr>
  </w:style>
  <w:style w:type="paragraph" w:styleId="Signature">
    <w:name w:val="Signature"/>
    <w:basedOn w:val="Normal"/>
    <w:link w:val="SignatureChar"/>
    <w:rsid w:val="007261ED"/>
    <w:pPr>
      <w:ind w:left="4252"/>
    </w:pPr>
  </w:style>
  <w:style w:type="character" w:customStyle="1" w:styleId="SignatureChar">
    <w:name w:val="Signature Char"/>
    <w:basedOn w:val="DefaultParagraphFont"/>
    <w:link w:val="Signature"/>
    <w:rsid w:val="007261ED"/>
    <w:rPr>
      <w:rFonts w:ascii="Verdana" w:hAnsi="Verdana" w:cs="Arial"/>
      <w:sz w:val="19"/>
    </w:rPr>
  </w:style>
  <w:style w:type="character" w:customStyle="1" w:styleId="SmartHyperlink1">
    <w:name w:val="Smart Hyperlink1"/>
    <w:basedOn w:val="DefaultParagraphFont"/>
    <w:uiPriority w:val="99"/>
    <w:semiHidden/>
    <w:unhideWhenUsed/>
    <w:rsid w:val="00437DF3"/>
    <w:rPr>
      <w:u w:val="dotted"/>
    </w:rPr>
  </w:style>
  <w:style w:type="paragraph" w:styleId="Subtitle">
    <w:name w:val="Subtitle"/>
    <w:basedOn w:val="Normal"/>
    <w:next w:val="Normal"/>
    <w:link w:val="SubtitleChar"/>
    <w:rsid w:val="007261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261ED"/>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rsid w:val="007261ED"/>
    <w:rPr>
      <w:i/>
      <w:iCs/>
      <w:color w:val="404040" w:themeColor="text1" w:themeTint="BF"/>
    </w:rPr>
  </w:style>
  <w:style w:type="character" w:styleId="SubtleReference">
    <w:name w:val="Subtle Reference"/>
    <w:basedOn w:val="DefaultParagraphFont"/>
    <w:uiPriority w:val="31"/>
    <w:rsid w:val="007261ED"/>
    <w:rPr>
      <w:smallCaps/>
      <w:color w:val="5A5A5A" w:themeColor="text1" w:themeTint="A5"/>
    </w:rPr>
  </w:style>
  <w:style w:type="paragraph" w:styleId="TableofAuthorities">
    <w:name w:val="table of authorities"/>
    <w:basedOn w:val="Normal"/>
    <w:next w:val="Normal"/>
    <w:rsid w:val="007261ED"/>
    <w:pPr>
      <w:ind w:left="190" w:hanging="190"/>
    </w:pPr>
  </w:style>
  <w:style w:type="paragraph" w:styleId="TableofFigures">
    <w:name w:val="table of figures"/>
    <w:basedOn w:val="Normal"/>
    <w:next w:val="Normal"/>
    <w:rsid w:val="007261ED"/>
  </w:style>
  <w:style w:type="paragraph" w:styleId="Title">
    <w:name w:val="Title"/>
    <w:basedOn w:val="Normal"/>
    <w:next w:val="Normal"/>
    <w:link w:val="TitleChar"/>
    <w:rsid w:val="007261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261ED"/>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261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7261ED"/>
    <w:pPr>
      <w:spacing w:after="100"/>
    </w:pPr>
  </w:style>
  <w:style w:type="paragraph" w:styleId="TOC2">
    <w:name w:val="toc 2"/>
    <w:basedOn w:val="Normal"/>
    <w:next w:val="Normal"/>
    <w:autoRedefine/>
    <w:rsid w:val="007261ED"/>
    <w:pPr>
      <w:spacing w:after="100"/>
      <w:ind w:left="190"/>
    </w:pPr>
  </w:style>
  <w:style w:type="paragraph" w:styleId="TOC3">
    <w:name w:val="toc 3"/>
    <w:basedOn w:val="Normal"/>
    <w:next w:val="Normal"/>
    <w:autoRedefine/>
    <w:rsid w:val="007261ED"/>
    <w:pPr>
      <w:spacing w:after="100"/>
      <w:ind w:left="380"/>
    </w:pPr>
  </w:style>
  <w:style w:type="paragraph" w:styleId="TOC4">
    <w:name w:val="toc 4"/>
    <w:basedOn w:val="Normal"/>
    <w:next w:val="Normal"/>
    <w:autoRedefine/>
    <w:rsid w:val="007261ED"/>
    <w:pPr>
      <w:spacing w:after="100"/>
      <w:ind w:left="570"/>
    </w:pPr>
  </w:style>
  <w:style w:type="paragraph" w:styleId="TOC5">
    <w:name w:val="toc 5"/>
    <w:basedOn w:val="Normal"/>
    <w:next w:val="Normal"/>
    <w:autoRedefine/>
    <w:rsid w:val="007261ED"/>
    <w:pPr>
      <w:spacing w:after="100"/>
      <w:ind w:left="760"/>
    </w:pPr>
  </w:style>
  <w:style w:type="paragraph" w:styleId="TOC6">
    <w:name w:val="toc 6"/>
    <w:basedOn w:val="Normal"/>
    <w:next w:val="Normal"/>
    <w:autoRedefine/>
    <w:rsid w:val="007261ED"/>
    <w:pPr>
      <w:spacing w:after="100"/>
      <w:ind w:left="950"/>
    </w:pPr>
  </w:style>
  <w:style w:type="paragraph" w:styleId="TOC7">
    <w:name w:val="toc 7"/>
    <w:basedOn w:val="Normal"/>
    <w:next w:val="Normal"/>
    <w:autoRedefine/>
    <w:rsid w:val="007261ED"/>
    <w:pPr>
      <w:spacing w:after="100"/>
      <w:ind w:left="1140"/>
    </w:pPr>
  </w:style>
  <w:style w:type="paragraph" w:styleId="TOC8">
    <w:name w:val="toc 8"/>
    <w:basedOn w:val="Normal"/>
    <w:next w:val="Normal"/>
    <w:autoRedefine/>
    <w:rsid w:val="007261ED"/>
    <w:pPr>
      <w:spacing w:after="100"/>
      <w:ind w:left="1330"/>
    </w:pPr>
  </w:style>
  <w:style w:type="paragraph" w:styleId="TOC9">
    <w:name w:val="toc 9"/>
    <w:basedOn w:val="Normal"/>
    <w:next w:val="Normal"/>
    <w:autoRedefine/>
    <w:rsid w:val="007261ED"/>
    <w:pPr>
      <w:spacing w:after="100"/>
      <w:ind w:left="1520"/>
    </w:pPr>
  </w:style>
  <w:style w:type="paragraph" w:styleId="TOCHeading">
    <w:name w:val="TOC Heading"/>
    <w:basedOn w:val="Heading1"/>
    <w:next w:val="Normal"/>
    <w:uiPriority w:val="39"/>
    <w:semiHidden/>
    <w:unhideWhenUsed/>
    <w:rsid w:val="007261ED"/>
    <w:pPr>
      <w:keepLines/>
      <w:numPr>
        <w:numId w:val="0"/>
      </w:numPr>
      <w:spacing w:before="240" w:after="0"/>
      <w:outlineLvl w:val="9"/>
    </w:pPr>
    <w:rPr>
      <w:rFonts w:asciiTheme="majorHAnsi" w:eastAsiaTheme="majorEastAsia" w:hAnsiTheme="majorHAnsi" w:cstheme="majorBidi"/>
      <w:b w:val="0"/>
      <w:color w:val="2E74B5" w:themeColor="accent1" w:themeShade="BF"/>
      <w:sz w:val="32"/>
      <w:szCs w:val="32"/>
    </w:rPr>
  </w:style>
  <w:style w:type="character" w:customStyle="1" w:styleId="UnresolvedMention1">
    <w:name w:val="Unresolved Mention1"/>
    <w:basedOn w:val="DefaultParagraphFont"/>
    <w:uiPriority w:val="99"/>
    <w:semiHidden/>
    <w:unhideWhenUsed/>
    <w:rsid w:val="00437DF3"/>
    <w:rPr>
      <w:color w:val="808080"/>
      <w:shd w:val="clear" w:color="auto" w:fill="E6E6E6"/>
    </w:rPr>
  </w:style>
  <w:style w:type="character" w:styleId="UnresolvedMention">
    <w:name w:val="Unresolved Mention"/>
    <w:basedOn w:val="DefaultParagraphFont"/>
    <w:uiPriority w:val="99"/>
    <w:semiHidden/>
    <w:unhideWhenUsed/>
    <w:rsid w:val="007261ED"/>
    <w:rPr>
      <w:color w:val="808080"/>
      <w:shd w:val="clear" w:color="auto" w:fill="E6E6E6"/>
    </w:rPr>
  </w:style>
  <w:style w:type="character" w:styleId="Hashtag">
    <w:name w:val="Hashtag"/>
    <w:basedOn w:val="DefaultParagraphFont"/>
    <w:uiPriority w:val="99"/>
    <w:semiHidden/>
    <w:unhideWhenUsed/>
    <w:rsid w:val="007261ED"/>
    <w:rPr>
      <w:color w:val="2B579A"/>
      <w:shd w:val="clear" w:color="auto" w:fill="E6E6E6"/>
    </w:rPr>
  </w:style>
  <w:style w:type="character" w:styleId="Mention">
    <w:name w:val="Mention"/>
    <w:basedOn w:val="DefaultParagraphFont"/>
    <w:uiPriority w:val="99"/>
    <w:semiHidden/>
    <w:unhideWhenUsed/>
    <w:rsid w:val="007261ED"/>
    <w:rPr>
      <w:color w:val="2B579A"/>
      <w:shd w:val="clear" w:color="auto" w:fill="E6E6E6"/>
    </w:rPr>
  </w:style>
  <w:style w:type="character" w:styleId="SmartHyperlink">
    <w:name w:val="Smart Hyperlink"/>
    <w:basedOn w:val="DefaultParagraphFont"/>
    <w:uiPriority w:val="99"/>
    <w:semiHidden/>
    <w:unhideWhenUsed/>
    <w:rsid w:val="007261ED"/>
    <w:rPr>
      <w:u w:val="dotted"/>
    </w:rPr>
  </w:style>
  <w:style w:type="character" w:customStyle="1" w:styleId="QuoteChar">
    <w:name w:val="Quote Char"/>
    <w:basedOn w:val="DefaultParagraphFont"/>
    <w:link w:val="Quote"/>
    <w:uiPriority w:val="1"/>
    <w:rsid w:val="00B2681C"/>
    <w:rPr>
      <w:rFonts w:ascii="Verdana" w:hAnsi="Verdana" w:cs="Arial"/>
      <w:i/>
      <w:iCs/>
      <w:sz w:val="17"/>
      <w:szCs w:val="16"/>
    </w:rPr>
  </w:style>
  <w:style w:type="paragraph" w:customStyle="1" w:styleId="QuoteLev1">
    <w:name w:val="Quote Lev 1"/>
    <w:basedOn w:val="Quote"/>
    <w:uiPriority w:val="1"/>
    <w:qFormat/>
    <w:rsid w:val="007261ED"/>
    <w:pPr>
      <w:numPr>
        <w:numId w:val="13"/>
      </w:numPr>
    </w:pPr>
  </w:style>
  <w:style w:type="paragraph" w:customStyle="1" w:styleId="QuoteLev2">
    <w:name w:val="Quote Lev 2"/>
    <w:basedOn w:val="Quote"/>
    <w:uiPriority w:val="1"/>
    <w:qFormat/>
    <w:rsid w:val="007261ED"/>
    <w:pPr>
      <w:numPr>
        <w:ilvl w:val="1"/>
        <w:numId w:val="13"/>
      </w:numPr>
    </w:pPr>
  </w:style>
  <w:style w:type="paragraph" w:customStyle="1" w:styleId="QuoteLev3">
    <w:name w:val="Quote Lev 3"/>
    <w:basedOn w:val="QuoteLev2"/>
    <w:uiPriority w:val="1"/>
    <w:qFormat/>
    <w:rsid w:val="007261ED"/>
    <w:pPr>
      <w:numPr>
        <w:ilvl w:val="2"/>
      </w:numPr>
    </w:pPr>
  </w:style>
  <w:style w:type="numbering" w:customStyle="1" w:styleId="QuoteNums">
    <w:name w:val="Quote Nums"/>
    <w:uiPriority w:val="99"/>
    <w:rsid w:val="007261ED"/>
    <w:pPr>
      <w:numPr>
        <w:numId w:val="12"/>
      </w:numPr>
    </w:pPr>
  </w:style>
  <w:style w:type="paragraph" w:customStyle="1" w:styleId="SubTitleBold">
    <w:name w:val="SubTitle Bold"/>
    <w:basedOn w:val="NoNum"/>
    <w:next w:val="NoNum"/>
    <w:qFormat/>
    <w:rsid w:val="00F77EE9"/>
    <w:pPr>
      <w:keepNext/>
      <w:ind w:left="720"/>
    </w:pPr>
    <w:rPr>
      <w:b/>
      <w:bCs/>
    </w:rPr>
  </w:style>
  <w:style w:type="paragraph" w:customStyle="1" w:styleId="SubTitleUnd">
    <w:name w:val="SubTitle Und"/>
    <w:basedOn w:val="NoNum"/>
    <w:next w:val="NoNum"/>
    <w:qFormat/>
    <w:rsid w:val="007261ED"/>
    <w:pPr>
      <w:ind w:left="720"/>
    </w:pPr>
    <w:rPr>
      <w:u w:val="single"/>
    </w:rPr>
  </w:style>
  <w:style w:type="character" w:styleId="SmartLink">
    <w:name w:val="Smart Link"/>
    <w:basedOn w:val="DefaultParagraphFont"/>
    <w:uiPriority w:val="99"/>
    <w:semiHidden/>
    <w:unhideWhenUsed/>
    <w:rsid w:val="007261ED"/>
    <w:rPr>
      <w:color w:val="2B579A"/>
      <w:shd w:val="clear" w:color="auto" w:fill="E1DFDD"/>
    </w:rPr>
  </w:style>
  <w:style w:type="character" w:customStyle="1" w:styleId="FooterChar">
    <w:name w:val="Footer Char"/>
    <w:basedOn w:val="DefaultParagraphFont"/>
    <w:link w:val="Footer"/>
    <w:uiPriority w:val="99"/>
    <w:rsid w:val="004B06B5"/>
    <w:rPr>
      <w:rFonts w:ascii="Verdana" w:hAnsi="Verdana" w:cs="Arial"/>
      <w:sz w:val="16"/>
    </w:rPr>
  </w:style>
  <w:style w:type="paragraph" w:styleId="Revision">
    <w:name w:val="Revision"/>
    <w:hidden/>
    <w:uiPriority w:val="99"/>
    <w:semiHidden/>
    <w:rsid w:val="00BD2B13"/>
    <w:rPr>
      <w:rFonts w:ascii="Verdana" w:hAnsi="Verdana" w:cs="Arial"/>
      <w:sz w:val="19"/>
    </w:rPr>
  </w:style>
  <w:style w:type="paragraph" w:customStyle="1" w:styleId="text">
    <w:name w:val="text"/>
    <w:basedOn w:val="Normal"/>
    <w:rsid w:val="00B749EF"/>
    <w:pPr>
      <w:overflowPunct/>
      <w:autoSpaceDE/>
      <w:autoSpaceDN/>
      <w:adjustRightInd/>
      <w:spacing w:before="100" w:beforeAutospacing="1" w:after="100" w:afterAutospacing="1"/>
      <w:jc w:val="left"/>
      <w:textAlignment w:val="auto"/>
    </w:pPr>
    <w:rPr>
      <w:rFonts w:ascii="Times New Roman" w:hAnsi="Times New Roman" w:cs="Times New Roman"/>
      <w:sz w:val="24"/>
      <w:szCs w:val="24"/>
    </w:rPr>
  </w:style>
  <w:style w:type="character" w:customStyle="1" w:styleId="label">
    <w:name w:val="label"/>
    <w:basedOn w:val="DefaultParagraphFont"/>
    <w:rsid w:val="00B749EF"/>
  </w:style>
  <w:style w:type="character" w:customStyle="1" w:styleId="FootnoteTextChar">
    <w:name w:val="Footnote Text Char"/>
    <w:basedOn w:val="DefaultParagraphFont"/>
    <w:link w:val="FootnoteText"/>
    <w:semiHidden/>
    <w:rsid w:val="00F51162"/>
    <w:rPr>
      <w:rFonts w:ascii="Verdana" w:hAnsi="Verdana" w:cs="Arial"/>
      <w:sz w:val="16"/>
    </w:rPr>
  </w:style>
  <w:style w:type="paragraph" w:customStyle="1" w:styleId="subprov">
    <w:name w:val="subprov"/>
    <w:basedOn w:val="Normal"/>
    <w:rsid w:val="00FE6D11"/>
    <w:pPr>
      <w:overflowPunct/>
      <w:autoSpaceDE/>
      <w:autoSpaceDN/>
      <w:adjustRightInd/>
      <w:spacing w:before="100" w:beforeAutospacing="1" w:after="100" w:afterAutospacing="1"/>
      <w:jc w:val="left"/>
      <w:textAlignment w:val="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2391">
      <w:bodyDiv w:val="1"/>
      <w:marLeft w:val="0"/>
      <w:marRight w:val="0"/>
      <w:marTop w:val="0"/>
      <w:marBottom w:val="0"/>
      <w:divBdr>
        <w:top w:val="none" w:sz="0" w:space="0" w:color="auto"/>
        <w:left w:val="none" w:sz="0" w:space="0" w:color="auto"/>
        <w:bottom w:val="none" w:sz="0" w:space="0" w:color="auto"/>
        <w:right w:val="none" w:sz="0" w:space="0" w:color="auto"/>
      </w:divBdr>
    </w:div>
    <w:div w:id="264072017">
      <w:bodyDiv w:val="1"/>
      <w:marLeft w:val="0"/>
      <w:marRight w:val="0"/>
      <w:marTop w:val="0"/>
      <w:marBottom w:val="0"/>
      <w:divBdr>
        <w:top w:val="none" w:sz="0" w:space="0" w:color="auto"/>
        <w:left w:val="none" w:sz="0" w:space="0" w:color="auto"/>
        <w:bottom w:val="none" w:sz="0" w:space="0" w:color="auto"/>
        <w:right w:val="none" w:sz="0" w:space="0" w:color="auto"/>
      </w:divBdr>
      <w:divsChild>
        <w:div w:id="438716434">
          <w:marLeft w:val="0"/>
          <w:marRight w:val="0"/>
          <w:marTop w:val="83"/>
          <w:marBottom w:val="0"/>
          <w:divBdr>
            <w:top w:val="none" w:sz="0" w:space="0" w:color="auto"/>
            <w:left w:val="none" w:sz="0" w:space="0" w:color="auto"/>
            <w:bottom w:val="none" w:sz="0" w:space="0" w:color="auto"/>
            <w:right w:val="none" w:sz="0" w:space="0" w:color="auto"/>
          </w:divBdr>
        </w:div>
        <w:div w:id="169761603">
          <w:marLeft w:val="0"/>
          <w:marRight w:val="0"/>
          <w:marTop w:val="83"/>
          <w:marBottom w:val="0"/>
          <w:divBdr>
            <w:top w:val="none" w:sz="0" w:space="0" w:color="auto"/>
            <w:left w:val="none" w:sz="0" w:space="0" w:color="auto"/>
            <w:bottom w:val="none" w:sz="0" w:space="0" w:color="auto"/>
            <w:right w:val="none" w:sz="0" w:space="0" w:color="auto"/>
          </w:divBdr>
        </w:div>
        <w:div w:id="2082293719">
          <w:marLeft w:val="0"/>
          <w:marRight w:val="0"/>
          <w:marTop w:val="83"/>
          <w:marBottom w:val="0"/>
          <w:divBdr>
            <w:top w:val="none" w:sz="0" w:space="0" w:color="auto"/>
            <w:left w:val="none" w:sz="0" w:space="0" w:color="auto"/>
            <w:bottom w:val="none" w:sz="0" w:space="0" w:color="auto"/>
            <w:right w:val="none" w:sz="0" w:space="0" w:color="auto"/>
          </w:divBdr>
          <w:divsChild>
            <w:div w:id="1183781505">
              <w:marLeft w:val="0"/>
              <w:marRight w:val="0"/>
              <w:marTop w:val="83"/>
              <w:marBottom w:val="0"/>
              <w:divBdr>
                <w:top w:val="none" w:sz="0" w:space="0" w:color="auto"/>
                <w:left w:val="none" w:sz="0" w:space="0" w:color="auto"/>
                <w:bottom w:val="none" w:sz="0" w:space="0" w:color="auto"/>
                <w:right w:val="none" w:sz="0" w:space="0" w:color="auto"/>
              </w:divBdr>
            </w:div>
            <w:div w:id="1978562745">
              <w:marLeft w:val="0"/>
              <w:marRight w:val="0"/>
              <w:marTop w:val="83"/>
              <w:marBottom w:val="0"/>
              <w:divBdr>
                <w:top w:val="none" w:sz="0" w:space="0" w:color="auto"/>
                <w:left w:val="none" w:sz="0" w:space="0" w:color="auto"/>
                <w:bottom w:val="none" w:sz="0" w:space="0" w:color="auto"/>
                <w:right w:val="none" w:sz="0" w:space="0" w:color="auto"/>
              </w:divBdr>
            </w:div>
            <w:div w:id="147596274">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451755904">
      <w:bodyDiv w:val="1"/>
      <w:marLeft w:val="0"/>
      <w:marRight w:val="0"/>
      <w:marTop w:val="0"/>
      <w:marBottom w:val="0"/>
      <w:divBdr>
        <w:top w:val="none" w:sz="0" w:space="0" w:color="auto"/>
        <w:left w:val="none" w:sz="0" w:space="0" w:color="auto"/>
        <w:bottom w:val="none" w:sz="0" w:space="0" w:color="auto"/>
        <w:right w:val="none" w:sz="0" w:space="0" w:color="auto"/>
      </w:divBdr>
      <w:divsChild>
        <w:div w:id="835803533">
          <w:marLeft w:val="0"/>
          <w:marRight w:val="0"/>
          <w:marTop w:val="83"/>
          <w:marBottom w:val="0"/>
          <w:divBdr>
            <w:top w:val="none" w:sz="0" w:space="0" w:color="auto"/>
            <w:left w:val="none" w:sz="0" w:space="0" w:color="auto"/>
            <w:bottom w:val="none" w:sz="0" w:space="0" w:color="auto"/>
            <w:right w:val="none" w:sz="0" w:space="0" w:color="auto"/>
          </w:divBdr>
        </w:div>
      </w:divsChild>
    </w:div>
    <w:div w:id="552081070">
      <w:bodyDiv w:val="1"/>
      <w:marLeft w:val="0"/>
      <w:marRight w:val="0"/>
      <w:marTop w:val="0"/>
      <w:marBottom w:val="0"/>
      <w:divBdr>
        <w:top w:val="none" w:sz="0" w:space="0" w:color="auto"/>
        <w:left w:val="none" w:sz="0" w:space="0" w:color="auto"/>
        <w:bottom w:val="none" w:sz="0" w:space="0" w:color="auto"/>
        <w:right w:val="none" w:sz="0" w:space="0" w:color="auto"/>
      </w:divBdr>
    </w:div>
    <w:div w:id="678967140">
      <w:bodyDiv w:val="1"/>
      <w:marLeft w:val="0"/>
      <w:marRight w:val="0"/>
      <w:marTop w:val="0"/>
      <w:marBottom w:val="0"/>
      <w:divBdr>
        <w:top w:val="none" w:sz="0" w:space="0" w:color="auto"/>
        <w:left w:val="none" w:sz="0" w:space="0" w:color="auto"/>
        <w:bottom w:val="none" w:sz="0" w:space="0" w:color="auto"/>
        <w:right w:val="none" w:sz="0" w:space="0" w:color="auto"/>
      </w:divBdr>
    </w:div>
    <w:div w:id="831259771">
      <w:bodyDiv w:val="1"/>
      <w:marLeft w:val="0"/>
      <w:marRight w:val="0"/>
      <w:marTop w:val="0"/>
      <w:marBottom w:val="0"/>
      <w:divBdr>
        <w:top w:val="none" w:sz="0" w:space="0" w:color="auto"/>
        <w:left w:val="none" w:sz="0" w:space="0" w:color="auto"/>
        <w:bottom w:val="none" w:sz="0" w:space="0" w:color="auto"/>
        <w:right w:val="none" w:sz="0" w:space="0" w:color="auto"/>
      </w:divBdr>
    </w:div>
    <w:div w:id="857088527">
      <w:bodyDiv w:val="1"/>
      <w:marLeft w:val="0"/>
      <w:marRight w:val="0"/>
      <w:marTop w:val="0"/>
      <w:marBottom w:val="0"/>
      <w:divBdr>
        <w:top w:val="none" w:sz="0" w:space="0" w:color="auto"/>
        <w:left w:val="none" w:sz="0" w:space="0" w:color="auto"/>
        <w:bottom w:val="none" w:sz="0" w:space="0" w:color="auto"/>
        <w:right w:val="none" w:sz="0" w:space="0" w:color="auto"/>
      </w:divBdr>
    </w:div>
    <w:div w:id="961964593">
      <w:bodyDiv w:val="1"/>
      <w:marLeft w:val="0"/>
      <w:marRight w:val="0"/>
      <w:marTop w:val="0"/>
      <w:marBottom w:val="0"/>
      <w:divBdr>
        <w:top w:val="none" w:sz="0" w:space="0" w:color="auto"/>
        <w:left w:val="none" w:sz="0" w:space="0" w:color="auto"/>
        <w:bottom w:val="none" w:sz="0" w:space="0" w:color="auto"/>
        <w:right w:val="none" w:sz="0" w:space="0" w:color="auto"/>
      </w:divBdr>
    </w:div>
    <w:div w:id="967323983">
      <w:bodyDiv w:val="1"/>
      <w:marLeft w:val="0"/>
      <w:marRight w:val="0"/>
      <w:marTop w:val="0"/>
      <w:marBottom w:val="0"/>
      <w:divBdr>
        <w:top w:val="none" w:sz="0" w:space="0" w:color="auto"/>
        <w:left w:val="none" w:sz="0" w:space="0" w:color="auto"/>
        <w:bottom w:val="none" w:sz="0" w:space="0" w:color="auto"/>
        <w:right w:val="none" w:sz="0" w:space="0" w:color="auto"/>
      </w:divBdr>
    </w:div>
    <w:div w:id="1050227816">
      <w:bodyDiv w:val="1"/>
      <w:marLeft w:val="0"/>
      <w:marRight w:val="0"/>
      <w:marTop w:val="0"/>
      <w:marBottom w:val="0"/>
      <w:divBdr>
        <w:top w:val="none" w:sz="0" w:space="0" w:color="auto"/>
        <w:left w:val="none" w:sz="0" w:space="0" w:color="auto"/>
        <w:bottom w:val="none" w:sz="0" w:space="0" w:color="auto"/>
        <w:right w:val="none" w:sz="0" w:space="0" w:color="auto"/>
      </w:divBdr>
    </w:div>
    <w:div w:id="1105661853">
      <w:bodyDiv w:val="1"/>
      <w:marLeft w:val="0"/>
      <w:marRight w:val="0"/>
      <w:marTop w:val="0"/>
      <w:marBottom w:val="0"/>
      <w:divBdr>
        <w:top w:val="none" w:sz="0" w:space="0" w:color="auto"/>
        <w:left w:val="none" w:sz="0" w:space="0" w:color="auto"/>
        <w:bottom w:val="none" w:sz="0" w:space="0" w:color="auto"/>
        <w:right w:val="none" w:sz="0" w:space="0" w:color="auto"/>
      </w:divBdr>
    </w:div>
    <w:div w:id="1172070195">
      <w:bodyDiv w:val="1"/>
      <w:marLeft w:val="0"/>
      <w:marRight w:val="0"/>
      <w:marTop w:val="0"/>
      <w:marBottom w:val="0"/>
      <w:divBdr>
        <w:top w:val="none" w:sz="0" w:space="0" w:color="auto"/>
        <w:left w:val="none" w:sz="0" w:space="0" w:color="auto"/>
        <w:bottom w:val="none" w:sz="0" w:space="0" w:color="auto"/>
        <w:right w:val="none" w:sz="0" w:space="0" w:color="auto"/>
      </w:divBdr>
    </w:div>
    <w:div w:id="1181550518">
      <w:bodyDiv w:val="1"/>
      <w:marLeft w:val="0"/>
      <w:marRight w:val="0"/>
      <w:marTop w:val="0"/>
      <w:marBottom w:val="0"/>
      <w:divBdr>
        <w:top w:val="none" w:sz="0" w:space="0" w:color="auto"/>
        <w:left w:val="none" w:sz="0" w:space="0" w:color="auto"/>
        <w:bottom w:val="none" w:sz="0" w:space="0" w:color="auto"/>
        <w:right w:val="none" w:sz="0" w:space="0" w:color="auto"/>
      </w:divBdr>
    </w:div>
    <w:div w:id="1274633628">
      <w:bodyDiv w:val="1"/>
      <w:marLeft w:val="0"/>
      <w:marRight w:val="0"/>
      <w:marTop w:val="0"/>
      <w:marBottom w:val="0"/>
      <w:divBdr>
        <w:top w:val="none" w:sz="0" w:space="0" w:color="auto"/>
        <w:left w:val="none" w:sz="0" w:space="0" w:color="auto"/>
        <w:bottom w:val="none" w:sz="0" w:space="0" w:color="auto"/>
        <w:right w:val="none" w:sz="0" w:space="0" w:color="auto"/>
      </w:divBdr>
    </w:div>
    <w:div w:id="1314331069">
      <w:bodyDiv w:val="1"/>
      <w:marLeft w:val="0"/>
      <w:marRight w:val="0"/>
      <w:marTop w:val="0"/>
      <w:marBottom w:val="0"/>
      <w:divBdr>
        <w:top w:val="none" w:sz="0" w:space="0" w:color="auto"/>
        <w:left w:val="none" w:sz="0" w:space="0" w:color="auto"/>
        <w:bottom w:val="none" w:sz="0" w:space="0" w:color="auto"/>
        <w:right w:val="none" w:sz="0" w:space="0" w:color="auto"/>
      </w:divBdr>
    </w:div>
    <w:div w:id="1367605354">
      <w:bodyDiv w:val="1"/>
      <w:marLeft w:val="0"/>
      <w:marRight w:val="0"/>
      <w:marTop w:val="0"/>
      <w:marBottom w:val="0"/>
      <w:divBdr>
        <w:top w:val="none" w:sz="0" w:space="0" w:color="auto"/>
        <w:left w:val="none" w:sz="0" w:space="0" w:color="auto"/>
        <w:bottom w:val="none" w:sz="0" w:space="0" w:color="auto"/>
        <w:right w:val="none" w:sz="0" w:space="0" w:color="auto"/>
      </w:divBdr>
    </w:div>
    <w:div w:id="1416703776">
      <w:bodyDiv w:val="1"/>
      <w:marLeft w:val="0"/>
      <w:marRight w:val="0"/>
      <w:marTop w:val="0"/>
      <w:marBottom w:val="0"/>
      <w:divBdr>
        <w:top w:val="none" w:sz="0" w:space="0" w:color="auto"/>
        <w:left w:val="none" w:sz="0" w:space="0" w:color="auto"/>
        <w:bottom w:val="none" w:sz="0" w:space="0" w:color="auto"/>
        <w:right w:val="none" w:sz="0" w:space="0" w:color="auto"/>
      </w:divBdr>
      <w:divsChild>
        <w:div w:id="448667304">
          <w:marLeft w:val="0"/>
          <w:marRight w:val="0"/>
          <w:marTop w:val="83"/>
          <w:marBottom w:val="0"/>
          <w:divBdr>
            <w:top w:val="none" w:sz="0" w:space="0" w:color="auto"/>
            <w:left w:val="none" w:sz="0" w:space="0" w:color="auto"/>
            <w:bottom w:val="none" w:sz="0" w:space="0" w:color="auto"/>
            <w:right w:val="none" w:sz="0" w:space="0" w:color="auto"/>
          </w:divBdr>
          <w:divsChild>
            <w:div w:id="255872079">
              <w:marLeft w:val="0"/>
              <w:marRight w:val="0"/>
              <w:marTop w:val="83"/>
              <w:marBottom w:val="0"/>
              <w:divBdr>
                <w:top w:val="none" w:sz="0" w:space="0" w:color="auto"/>
                <w:left w:val="none" w:sz="0" w:space="0" w:color="auto"/>
                <w:bottom w:val="none" w:sz="0" w:space="0" w:color="auto"/>
                <w:right w:val="none" w:sz="0" w:space="0" w:color="auto"/>
              </w:divBdr>
            </w:div>
            <w:div w:id="101154232">
              <w:marLeft w:val="0"/>
              <w:marRight w:val="0"/>
              <w:marTop w:val="83"/>
              <w:marBottom w:val="0"/>
              <w:divBdr>
                <w:top w:val="none" w:sz="0" w:space="0" w:color="auto"/>
                <w:left w:val="none" w:sz="0" w:space="0" w:color="auto"/>
                <w:bottom w:val="none" w:sz="0" w:space="0" w:color="auto"/>
                <w:right w:val="none" w:sz="0" w:space="0" w:color="auto"/>
              </w:divBdr>
            </w:div>
          </w:divsChild>
        </w:div>
        <w:div w:id="870802168">
          <w:marLeft w:val="0"/>
          <w:marRight w:val="0"/>
          <w:marTop w:val="83"/>
          <w:marBottom w:val="0"/>
          <w:divBdr>
            <w:top w:val="none" w:sz="0" w:space="0" w:color="auto"/>
            <w:left w:val="none" w:sz="0" w:space="0" w:color="auto"/>
            <w:bottom w:val="none" w:sz="0" w:space="0" w:color="auto"/>
            <w:right w:val="none" w:sz="0" w:space="0" w:color="auto"/>
          </w:divBdr>
        </w:div>
        <w:div w:id="1712148701">
          <w:marLeft w:val="0"/>
          <w:marRight w:val="0"/>
          <w:marTop w:val="83"/>
          <w:marBottom w:val="0"/>
          <w:divBdr>
            <w:top w:val="none" w:sz="0" w:space="0" w:color="auto"/>
            <w:left w:val="none" w:sz="0" w:space="0" w:color="auto"/>
            <w:bottom w:val="none" w:sz="0" w:space="0" w:color="auto"/>
            <w:right w:val="none" w:sz="0" w:space="0" w:color="auto"/>
          </w:divBdr>
        </w:div>
      </w:divsChild>
    </w:div>
    <w:div w:id="1434208175">
      <w:bodyDiv w:val="1"/>
      <w:marLeft w:val="0"/>
      <w:marRight w:val="0"/>
      <w:marTop w:val="0"/>
      <w:marBottom w:val="0"/>
      <w:divBdr>
        <w:top w:val="none" w:sz="0" w:space="0" w:color="auto"/>
        <w:left w:val="none" w:sz="0" w:space="0" w:color="auto"/>
        <w:bottom w:val="none" w:sz="0" w:space="0" w:color="auto"/>
        <w:right w:val="none" w:sz="0" w:space="0" w:color="auto"/>
      </w:divBdr>
    </w:div>
    <w:div w:id="1822192436">
      <w:bodyDiv w:val="1"/>
      <w:marLeft w:val="0"/>
      <w:marRight w:val="0"/>
      <w:marTop w:val="0"/>
      <w:marBottom w:val="0"/>
      <w:divBdr>
        <w:top w:val="none" w:sz="0" w:space="0" w:color="auto"/>
        <w:left w:val="none" w:sz="0" w:space="0" w:color="auto"/>
        <w:bottom w:val="none" w:sz="0" w:space="0" w:color="auto"/>
        <w:right w:val="none" w:sz="0" w:space="0" w:color="auto"/>
      </w:divBdr>
    </w:div>
    <w:div w:id="2043288326">
      <w:bodyDiv w:val="1"/>
      <w:marLeft w:val="0"/>
      <w:marRight w:val="0"/>
      <w:marTop w:val="0"/>
      <w:marBottom w:val="0"/>
      <w:divBdr>
        <w:top w:val="none" w:sz="0" w:space="0" w:color="auto"/>
        <w:left w:val="none" w:sz="0" w:space="0" w:color="auto"/>
        <w:bottom w:val="none" w:sz="0" w:space="0" w:color="auto"/>
        <w:right w:val="none" w:sz="0" w:space="0" w:color="auto"/>
      </w:divBdr>
    </w:div>
    <w:div w:id="2063403150">
      <w:bodyDiv w:val="1"/>
      <w:marLeft w:val="0"/>
      <w:marRight w:val="0"/>
      <w:marTop w:val="0"/>
      <w:marBottom w:val="0"/>
      <w:divBdr>
        <w:top w:val="none" w:sz="0" w:space="0" w:color="auto"/>
        <w:left w:val="none" w:sz="0" w:space="0" w:color="auto"/>
        <w:bottom w:val="none" w:sz="0" w:space="0" w:color="auto"/>
        <w:right w:val="none" w:sz="0" w:space="0" w:color="auto"/>
      </w:divBdr>
    </w:div>
    <w:div w:id="2085831943">
      <w:bodyDiv w:val="1"/>
      <w:marLeft w:val="0"/>
      <w:marRight w:val="0"/>
      <w:marTop w:val="0"/>
      <w:marBottom w:val="0"/>
      <w:divBdr>
        <w:top w:val="none" w:sz="0" w:space="0" w:color="auto"/>
        <w:left w:val="none" w:sz="0" w:space="0" w:color="auto"/>
        <w:bottom w:val="none" w:sz="0" w:space="0" w:color="auto"/>
        <w:right w:val="none" w:sz="0" w:space="0" w:color="auto"/>
      </w:divBdr>
    </w:div>
    <w:div w:id="2113745233">
      <w:bodyDiv w:val="1"/>
      <w:marLeft w:val="0"/>
      <w:marRight w:val="0"/>
      <w:marTop w:val="0"/>
      <w:marBottom w:val="0"/>
      <w:divBdr>
        <w:top w:val="none" w:sz="0" w:space="0" w:color="auto"/>
        <w:left w:val="none" w:sz="0" w:space="0" w:color="auto"/>
        <w:bottom w:val="none" w:sz="0" w:space="0" w:color="auto"/>
        <w:right w:val="none" w:sz="0" w:space="0" w:color="auto"/>
      </w:divBdr>
    </w:div>
    <w:div w:id="213879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metlink.org.nz/service/JVL/timetable" TargetMode="External"/><Relationship Id="rId1" Type="http://schemas.openxmlformats.org/officeDocument/2006/relationships/hyperlink" Target="https://youtu.be/WgLkdTpDoh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Berry%20Simons%20Templates\WkTempl\env%20or%20rma%20cou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365C1-867D-41C7-A8F7-F287460E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env or rma court.dot</Template>
  <TotalTime>859</TotalTime>
  <Pages>29</Pages>
  <Words>7575</Words>
  <Characters>40281</Characters>
  <Application>Microsoft Office Word</Application>
  <DocSecurity>0</DocSecurity>
  <Lines>335</Lines>
  <Paragraphs>95</Paragraphs>
  <ScaleCrop>false</ScaleCrop>
  <HeadingPairs>
    <vt:vector size="2" baseType="variant">
      <vt:variant>
        <vt:lpstr>Title</vt:lpstr>
      </vt:variant>
      <vt:variant>
        <vt:i4>1</vt:i4>
      </vt:variant>
    </vt:vector>
  </HeadingPairs>
  <TitlesOfParts>
    <vt:vector size="1" baseType="lpstr">
      <vt:lpstr>BEFORE THE ENVIRONMENT COURT</vt:lpstr>
    </vt:vector>
  </TitlesOfParts>
  <Company>Hewlett-Packard Company</Company>
  <LinksUpToDate>false</LinksUpToDate>
  <CharactersWithSpaces>47761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ENVIRONMENT COURT</dc:title>
  <dc:creator>Chris Timbs</dc:creator>
  <cp:lastModifiedBy>Tamsin Gorman</cp:lastModifiedBy>
  <cp:revision>834</cp:revision>
  <cp:lastPrinted>2018-10-08T23:41:00Z</cp:lastPrinted>
  <dcterms:created xsi:type="dcterms:W3CDTF">2022-08-29T22:03:00Z</dcterms:created>
  <dcterms:modified xsi:type="dcterms:W3CDTF">2022-09-02T04:21:00Z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aftVersion">
    <vt:lpwstr/>
  </property>
  <property fmtid="{D5CDD505-2E9C-101B-9397-08002B2CF9AE}" pid="3" name="iManageFooter">
    <vt:lpwstr>#154205v4&lt;SAGA&gt; - Generation Zero Wellington - Submission on Wellington City PD...docx</vt:lpwstr>
  </property>
</Properties>
</file>